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34" w:type="dxa"/>
        <w:tblInd w:w="5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</w:tblGrid>
      <w:tr w:rsidR="000A7662" w:rsidRPr="00590D00" w14:paraId="29754985" w14:textId="77777777" w:rsidTr="000A7662">
        <w:tc>
          <w:tcPr>
            <w:tcW w:w="3534" w:type="dxa"/>
          </w:tcPr>
          <w:p w14:paraId="5FDC8208" w14:textId="77777777" w:rsidR="000A7662" w:rsidRPr="005C451E" w:rsidRDefault="000A7662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 w:rsidRPr="005C451E">
              <w:rPr>
                <w:color w:val="auto"/>
                <w:sz w:val="24"/>
                <w:szCs w:val="24"/>
              </w:rPr>
              <w:t>УТВЕРЖДАЮ</w:t>
            </w:r>
          </w:p>
        </w:tc>
      </w:tr>
      <w:tr w:rsidR="000A7662" w:rsidRPr="00590D00" w14:paraId="6BD269CA" w14:textId="77777777" w:rsidTr="000A7662">
        <w:tc>
          <w:tcPr>
            <w:tcW w:w="3534" w:type="dxa"/>
          </w:tcPr>
          <w:p w14:paraId="13923A47" w14:textId="77777777" w:rsidR="000A7662" w:rsidRPr="005C451E" w:rsidRDefault="000A7662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 w:rsidRPr="005C451E">
              <w:rPr>
                <w:color w:val="auto"/>
                <w:sz w:val="24"/>
                <w:szCs w:val="24"/>
              </w:rPr>
              <w:t>Генеральный директор</w:t>
            </w:r>
          </w:p>
        </w:tc>
      </w:tr>
      <w:tr w:rsidR="000A7662" w:rsidRPr="00590D00" w14:paraId="3D290A5C" w14:textId="77777777" w:rsidTr="000A7662">
        <w:tc>
          <w:tcPr>
            <w:tcW w:w="3534" w:type="dxa"/>
          </w:tcPr>
          <w:p w14:paraId="02316CD6" w14:textId="77777777" w:rsidR="000A7662" w:rsidRPr="005C451E" w:rsidRDefault="000A7662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 w:rsidRPr="005C451E">
              <w:rPr>
                <w:color w:val="auto"/>
                <w:sz w:val="24"/>
                <w:szCs w:val="24"/>
              </w:rPr>
              <w:t>ООО «МКК ФИНРЕСУРС»</w:t>
            </w:r>
          </w:p>
        </w:tc>
      </w:tr>
      <w:tr w:rsidR="000A7662" w:rsidRPr="00590D00" w14:paraId="1A8746B0" w14:textId="77777777" w:rsidTr="000A7662">
        <w:tc>
          <w:tcPr>
            <w:tcW w:w="3534" w:type="dxa"/>
          </w:tcPr>
          <w:p w14:paraId="6A7F433D" w14:textId="77777777" w:rsidR="000A7662" w:rsidRPr="005C451E" w:rsidRDefault="000A7662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</w:p>
          <w:p w14:paraId="489A4233" w14:textId="60EA8268" w:rsidR="008409EB" w:rsidRPr="005C451E" w:rsidRDefault="008409EB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</w:p>
          <w:p w14:paraId="2F436782" w14:textId="75EE0DF4" w:rsidR="000A7662" w:rsidRPr="005C451E" w:rsidRDefault="000A7662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 w:rsidRPr="005C451E">
              <w:rPr>
                <w:color w:val="auto"/>
                <w:sz w:val="24"/>
                <w:szCs w:val="24"/>
              </w:rPr>
              <w:t>___________________</w:t>
            </w:r>
          </w:p>
          <w:p w14:paraId="65C7E207" w14:textId="77777777" w:rsidR="008409EB" w:rsidRPr="005C451E" w:rsidRDefault="008409EB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</w:p>
          <w:p w14:paraId="47E6B2BA" w14:textId="72E00ACE" w:rsidR="000A7662" w:rsidRPr="005C451E" w:rsidRDefault="0051544C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Лебединский Р.В.</w:t>
            </w:r>
          </w:p>
          <w:p w14:paraId="786374DD" w14:textId="408F2EE9" w:rsidR="000A7662" w:rsidRPr="005C451E" w:rsidRDefault="0051544C" w:rsidP="007B309E">
            <w:pPr>
              <w:autoSpaceDE w:val="0"/>
              <w:autoSpaceDN w:val="0"/>
              <w:adjustRightInd w:val="0"/>
              <w:ind w:left="709" w:hanging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405238" w:rsidRPr="005C451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04</w:t>
            </w:r>
            <w:r w:rsidR="000A7662" w:rsidRPr="005C451E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14:paraId="078B3229" w14:textId="3561874B" w:rsidR="009B7E60" w:rsidRPr="008409EB" w:rsidRDefault="009B7E60">
      <w:pPr>
        <w:rPr>
          <w:sz w:val="24"/>
          <w:szCs w:val="24"/>
        </w:rPr>
      </w:pPr>
    </w:p>
    <w:p w14:paraId="79902AEC" w14:textId="2ACBA868" w:rsidR="008409EB" w:rsidRPr="008409EB" w:rsidRDefault="008409EB">
      <w:pPr>
        <w:rPr>
          <w:sz w:val="24"/>
          <w:szCs w:val="24"/>
        </w:rPr>
      </w:pPr>
    </w:p>
    <w:p w14:paraId="62085D3E" w14:textId="77777777" w:rsidR="008409EB" w:rsidRPr="008409EB" w:rsidRDefault="008409EB">
      <w:pPr>
        <w:rPr>
          <w:sz w:val="24"/>
          <w:szCs w:val="24"/>
        </w:rPr>
      </w:pPr>
    </w:p>
    <w:p w14:paraId="14B34142" w14:textId="77777777" w:rsidR="000A7662" w:rsidRPr="00A430AF" w:rsidRDefault="000A7662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  <w:r w:rsidRPr="00A430AF">
        <w:rPr>
          <w:b/>
          <w:bCs/>
          <w:color w:val="auto"/>
          <w:sz w:val="28"/>
          <w:szCs w:val="28"/>
        </w:rPr>
        <w:t>ИНФОРМАЦИЯ</w:t>
      </w:r>
    </w:p>
    <w:p w14:paraId="267F9A8C" w14:textId="77777777" w:rsidR="009544CE" w:rsidRDefault="000A7662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  <w:r w:rsidRPr="00A430AF">
        <w:rPr>
          <w:b/>
          <w:bCs/>
          <w:color w:val="auto"/>
          <w:sz w:val="28"/>
          <w:szCs w:val="28"/>
        </w:rPr>
        <w:t>ОБ УСЛОВИЯХ ПРЕДОСТАВЛЕНИЯ, ИСПОЛЬЗОВАНИЯ И ВОЗВРАТА ПОТРЕБИТЕЛЬСКОГО МИКРОЗАЙ</w:t>
      </w:r>
      <w:r w:rsidR="00046B5D">
        <w:rPr>
          <w:b/>
          <w:bCs/>
          <w:color w:val="auto"/>
          <w:sz w:val="28"/>
          <w:szCs w:val="28"/>
        </w:rPr>
        <w:t>М</w:t>
      </w:r>
      <w:r w:rsidRPr="00A430AF">
        <w:rPr>
          <w:b/>
          <w:bCs/>
          <w:color w:val="auto"/>
          <w:sz w:val="28"/>
          <w:szCs w:val="28"/>
        </w:rPr>
        <w:t xml:space="preserve">А </w:t>
      </w:r>
    </w:p>
    <w:p w14:paraId="64E80742" w14:textId="7E4B36BB" w:rsidR="000A7662" w:rsidRPr="008409EB" w:rsidRDefault="000A7662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4"/>
          <w:szCs w:val="24"/>
        </w:rPr>
      </w:pPr>
      <w:r w:rsidRPr="00A430AF">
        <w:rPr>
          <w:b/>
          <w:bCs/>
          <w:color w:val="auto"/>
          <w:sz w:val="28"/>
          <w:szCs w:val="28"/>
        </w:rPr>
        <w:t>В ООО «МКК ФИНРЕСУРС» ПО ПРОГРАММЕ МИКРОКРЕДИТОВАНИЯ</w:t>
      </w:r>
      <w:r w:rsidR="006E0716">
        <w:rPr>
          <w:b/>
          <w:bCs/>
          <w:color w:val="auto"/>
          <w:sz w:val="28"/>
          <w:szCs w:val="28"/>
        </w:rPr>
        <w:t xml:space="preserve"> </w:t>
      </w:r>
    </w:p>
    <w:p w14:paraId="346B51F5" w14:textId="57586D80" w:rsidR="000A7662" w:rsidRPr="006E0716" w:rsidRDefault="000A7662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  <w:r w:rsidRPr="006E0716">
        <w:rPr>
          <w:b/>
          <w:bCs/>
          <w:color w:val="auto"/>
          <w:sz w:val="28"/>
          <w:szCs w:val="28"/>
        </w:rPr>
        <w:t>«ПОТРЕБИТЕЛЬСКИЙ ЗАЛОГОВЫЙ МИКРОЗАЙМ»</w:t>
      </w:r>
    </w:p>
    <w:p w14:paraId="766D9A98" w14:textId="65D0A3EA" w:rsidR="006E0716" w:rsidRDefault="006E0716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</w:p>
    <w:p w14:paraId="019DCE1B" w14:textId="1DF8857A" w:rsidR="0051544C" w:rsidRDefault="006E0716" w:rsidP="0051544C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РАМКАХ ПРОВЕДЕНИЯ </w:t>
      </w:r>
      <w:r w:rsidRPr="00227984">
        <w:rPr>
          <w:b/>
          <w:bCs/>
          <w:color w:val="auto"/>
          <w:sz w:val="28"/>
          <w:szCs w:val="28"/>
        </w:rPr>
        <w:t>АКЦИИ</w:t>
      </w:r>
    </w:p>
    <w:p w14:paraId="102D3B07" w14:textId="1EC8EEB5" w:rsidR="006E0716" w:rsidRPr="00227984" w:rsidRDefault="006E0716" w:rsidP="0051544C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  <w:r w:rsidRPr="003B3D50">
        <w:rPr>
          <w:b/>
          <w:bCs/>
          <w:color w:val="auto"/>
          <w:sz w:val="28"/>
          <w:szCs w:val="28"/>
        </w:rPr>
        <w:t>«</w:t>
      </w:r>
      <w:r w:rsidR="0051544C" w:rsidRPr="0051544C">
        <w:rPr>
          <w:b/>
          <w:bCs/>
          <w:color w:val="auto"/>
          <w:sz w:val="28"/>
          <w:szCs w:val="28"/>
        </w:rPr>
        <w:t>Летняя. Легкая.</w:t>
      </w:r>
      <w:r w:rsidR="00496C56">
        <w:rPr>
          <w:b/>
          <w:bCs/>
          <w:color w:val="auto"/>
          <w:sz w:val="28"/>
          <w:szCs w:val="28"/>
        </w:rPr>
        <w:t xml:space="preserve"> </w:t>
      </w:r>
      <w:r w:rsidR="0051544C" w:rsidRPr="0051544C">
        <w:rPr>
          <w:b/>
          <w:bCs/>
          <w:color w:val="auto"/>
          <w:sz w:val="28"/>
          <w:szCs w:val="28"/>
        </w:rPr>
        <w:t>Твоя</w:t>
      </w:r>
      <w:r w:rsidR="0051544C" w:rsidRPr="003B3D50">
        <w:rPr>
          <w:b/>
          <w:bCs/>
          <w:color w:val="auto"/>
          <w:sz w:val="28"/>
          <w:szCs w:val="28"/>
        </w:rPr>
        <w:t xml:space="preserve"> </w:t>
      </w:r>
      <w:r w:rsidR="009544CE" w:rsidRPr="003B3D50">
        <w:rPr>
          <w:b/>
          <w:bCs/>
          <w:color w:val="auto"/>
          <w:sz w:val="28"/>
          <w:szCs w:val="28"/>
        </w:rPr>
        <w:t xml:space="preserve">- </w:t>
      </w:r>
      <w:r w:rsidR="0051544C">
        <w:rPr>
          <w:b/>
          <w:bCs/>
          <w:color w:val="auto"/>
          <w:sz w:val="28"/>
          <w:szCs w:val="28"/>
        </w:rPr>
        <w:t>3</w:t>
      </w:r>
      <w:r w:rsidRPr="003B3D50">
        <w:rPr>
          <w:b/>
          <w:bCs/>
          <w:color w:val="auto"/>
          <w:sz w:val="28"/>
          <w:szCs w:val="28"/>
        </w:rPr>
        <w:t>%</w:t>
      </w:r>
      <w:r w:rsidR="0051544C">
        <w:rPr>
          <w:b/>
          <w:bCs/>
          <w:color w:val="auto"/>
          <w:sz w:val="28"/>
          <w:szCs w:val="28"/>
        </w:rPr>
        <w:t xml:space="preserve"> в месяц</w:t>
      </w:r>
      <w:r w:rsidRPr="003B3D50">
        <w:rPr>
          <w:b/>
          <w:bCs/>
          <w:color w:val="auto"/>
          <w:sz w:val="28"/>
          <w:szCs w:val="28"/>
        </w:rPr>
        <w:t>»</w:t>
      </w:r>
    </w:p>
    <w:p w14:paraId="33B23FED" w14:textId="416C2C51" w:rsidR="004322B9" w:rsidRDefault="004322B9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</w:p>
    <w:p w14:paraId="6DECEC26" w14:textId="352C6E02" w:rsidR="006E0716" w:rsidRDefault="006E0716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</w:p>
    <w:p w14:paraId="0485147A" w14:textId="006F4652" w:rsidR="006E0716" w:rsidRDefault="006E0716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</w:p>
    <w:p w14:paraId="47E95B88" w14:textId="77777777" w:rsidR="006E0716" w:rsidRDefault="006E0716" w:rsidP="000A76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b/>
          <w:bCs/>
          <w:color w:val="auto"/>
          <w:sz w:val="28"/>
          <w:szCs w:val="28"/>
        </w:rPr>
      </w:pPr>
    </w:p>
    <w:p w14:paraId="1433FBD3" w14:textId="77777777" w:rsidR="000A7662" w:rsidRPr="008409EB" w:rsidRDefault="000A7662" w:rsidP="000A766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color w:val="auto"/>
          <w:sz w:val="24"/>
          <w:szCs w:val="24"/>
        </w:rPr>
      </w:pPr>
    </w:p>
    <w:p w14:paraId="0FCA286C" w14:textId="46CF4B6F" w:rsidR="000A7662" w:rsidRDefault="000A7662" w:rsidP="008409EB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8409EB">
        <w:rPr>
          <w:rFonts w:eastAsia="Times New Roman"/>
          <w:color w:val="auto"/>
          <w:sz w:val="24"/>
          <w:szCs w:val="24"/>
        </w:rPr>
        <w:t>Настоящая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Информация</w:t>
      </w:r>
      <w:r w:rsidRPr="008409EB">
        <w:rPr>
          <w:rFonts w:eastAsia="Times New Roman"/>
          <w:color w:val="auto"/>
          <w:spacing w:val="-16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об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условиях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предоставления,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использования</w:t>
      </w:r>
      <w:r w:rsidRPr="008409EB">
        <w:rPr>
          <w:rFonts w:eastAsia="Times New Roman"/>
          <w:color w:val="auto"/>
          <w:spacing w:val="-15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и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возврата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потребительск</w:t>
      </w:r>
      <w:r w:rsidR="006C2A96">
        <w:rPr>
          <w:rFonts w:eastAsia="Times New Roman"/>
          <w:color w:val="auto"/>
          <w:sz w:val="24"/>
          <w:szCs w:val="24"/>
        </w:rPr>
        <w:t>ого</w:t>
      </w:r>
      <w:r w:rsidRPr="008409EB">
        <w:rPr>
          <w:rFonts w:eastAsia="Times New Roman"/>
          <w:color w:val="auto"/>
          <w:sz w:val="24"/>
          <w:szCs w:val="24"/>
        </w:rPr>
        <w:t xml:space="preserve"> микрозайм</w:t>
      </w:r>
      <w:r w:rsidR="006C2A96">
        <w:rPr>
          <w:rFonts w:eastAsia="Times New Roman"/>
          <w:color w:val="auto"/>
          <w:sz w:val="24"/>
          <w:szCs w:val="24"/>
        </w:rPr>
        <w:t>а</w:t>
      </w:r>
      <w:r w:rsidRPr="008409EB">
        <w:rPr>
          <w:rFonts w:eastAsia="Times New Roman"/>
          <w:color w:val="auto"/>
          <w:sz w:val="24"/>
          <w:szCs w:val="24"/>
        </w:rPr>
        <w:t xml:space="preserve"> в Обществе с ограниченной ответственностью «Микрокредитная компания ФИНРЕСУРС»</w:t>
      </w:r>
      <w:r w:rsidRPr="008409EB">
        <w:rPr>
          <w:rFonts w:eastAsia="Times New Roman"/>
          <w:color w:val="auto"/>
          <w:spacing w:val="-13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(далее</w:t>
      </w:r>
      <w:r w:rsidRPr="008409EB">
        <w:rPr>
          <w:rFonts w:eastAsia="Times New Roman"/>
          <w:color w:val="auto"/>
          <w:spacing w:val="-11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–</w:t>
      </w:r>
      <w:r w:rsidRPr="008409EB">
        <w:rPr>
          <w:rFonts w:eastAsia="Times New Roman"/>
          <w:color w:val="auto"/>
          <w:spacing w:val="-8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Общество,</w:t>
      </w:r>
      <w:r w:rsidRPr="008409EB">
        <w:rPr>
          <w:rFonts w:eastAsia="Times New Roman"/>
          <w:color w:val="auto"/>
          <w:spacing w:val="-8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Кредитор)</w:t>
      </w:r>
      <w:r w:rsidR="006C2A96">
        <w:rPr>
          <w:rFonts w:eastAsia="Times New Roman"/>
          <w:color w:val="auto"/>
          <w:sz w:val="24"/>
          <w:szCs w:val="24"/>
        </w:rPr>
        <w:t xml:space="preserve"> по программе микрокредитования «потребительский залоговый микрозайм»</w:t>
      </w:r>
      <w:r w:rsidR="006E0716">
        <w:rPr>
          <w:rFonts w:eastAsia="Times New Roman"/>
          <w:color w:val="auto"/>
          <w:sz w:val="24"/>
          <w:szCs w:val="24"/>
        </w:rPr>
        <w:t xml:space="preserve"> в рамках </w:t>
      </w:r>
      <w:r w:rsidR="006E0716" w:rsidRPr="00227984">
        <w:rPr>
          <w:rFonts w:eastAsia="Times New Roman"/>
          <w:color w:val="auto"/>
          <w:sz w:val="24"/>
          <w:szCs w:val="24"/>
        </w:rPr>
        <w:t xml:space="preserve">проведения </w:t>
      </w:r>
      <w:r w:rsidR="00290FA0" w:rsidRPr="004C6EB6">
        <w:rPr>
          <w:rFonts w:eastAsia="Times New Roman"/>
          <w:color w:val="auto"/>
          <w:sz w:val="24"/>
          <w:szCs w:val="24"/>
        </w:rPr>
        <w:t>А</w:t>
      </w:r>
      <w:r w:rsidR="006E0716" w:rsidRPr="004C6EB6">
        <w:rPr>
          <w:rFonts w:eastAsia="Times New Roman"/>
          <w:color w:val="auto"/>
          <w:sz w:val="24"/>
          <w:szCs w:val="24"/>
        </w:rPr>
        <w:t>кции «</w:t>
      </w:r>
      <w:r w:rsidR="00C8746B" w:rsidRPr="004C6EB6">
        <w:rPr>
          <w:rFonts w:eastAsia="Times New Roman"/>
          <w:color w:val="auto"/>
          <w:sz w:val="24"/>
          <w:szCs w:val="24"/>
        </w:rPr>
        <w:t>Летняя. Легкая.</w:t>
      </w:r>
      <w:r w:rsidR="004C6EB6">
        <w:rPr>
          <w:rFonts w:eastAsia="Times New Roman"/>
          <w:color w:val="auto"/>
          <w:sz w:val="24"/>
          <w:szCs w:val="24"/>
        </w:rPr>
        <w:t xml:space="preserve"> </w:t>
      </w:r>
      <w:r w:rsidR="00C8746B" w:rsidRPr="004C6EB6">
        <w:rPr>
          <w:rFonts w:eastAsia="Times New Roman"/>
          <w:color w:val="auto"/>
          <w:sz w:val="24"/>
          <w:szCs w:val="24"/>
        </w:rPr>
        <w:t>Твоя - 3% в месяц</w:t>
      </w:r>
      <w:r w:rsidR="006E0716" w:rsidRPr="004C6EB6">
        <w:rPr>
          <w:rFonts w:eastAsia="Times New Roman"/>
          <w:color w:val="auto"/>
          <w:sz w:val="24"/>
          <w:szCs w:val="24"/>
        </w:rPr>
        <w:t>»</w:t>
      </w:r>
      <w:r w:rsidR="00290FA0" w:rsidRPr="003B3D50">
        <w:rPr>
          <w:rFonts w:eastAsia="Times New Roman"/>
          <w:color w:val="auto"/>
          <w:sz w:val="24"/>
          <w:szCs w:val="24"/>
        </w:rPr>
        <w:t xml:space="preserve"> </w:t>
      </w:r>
      <w:r w:rsidR="00290FA0" w:rsidRPr="00227984">
        <w:rPr>
          <w:rFonts w:eastAsia="Times New Roman"/>
          <w:color w:val="auto"/>
          <w:sz w:val="24"/>
          <w:szCs w:val="24"/>
        </w:rPr>
        <w:t>(</w:t>
      </w:r>
      <w:r w:rsidR="00290FA0" w:rsidRPr="00290FA0">
        <w:rPr>
          <w:rFonts w:eastAsia="Times New Roman"/>
          <w:color w:val="auto"/>
          <w:sz w:val="24"/>
          <w:szCs w:val="24"/>
        </w:rPr>
        <w:t>далее – Акция)</w:t>
      </w:r>
      <w:r w:rsidRPr="004C6EB6">
        <w:rPr>
          <w:rFonts w:eastAsia="Times New Roman"/>
          <w:color w:val="auto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разработана</w:t>
      </w:r>
      <w:r w:rsidRPr="004C6EB6">
        <w:rPr>
          <w:rFonts w:eastAsia="Times New Roman"/>
          <w:color w:val="auto"/>
          <w:sz w:val="24"/>
          <w:szCs w:val="24"/>
        </w:rPr>
        <w:t xml:space="preserve"> </w:t>
      </w:r>
      <w:r w:rsidR="006E0716">
        <w:rPr>
          <w:rFonts w:eastAsia="Times New Roman"/>
          <w:color w:val="auto"/>
          <w:sz w:val="24"/>
          <w:szCs w:val="24"/>
        </w:rPr>
        <w:t xml:space="preserve">с учетом </w:t>
      </w:r>
      <w:r w:rsidR="006E0716" w:rsidRPr="004C6EB6">
        <w:rPr>
          <w:rFonts w:eastAsia="Times New Roman"/>
          <w:color w:val="auto"/>
          <w:sz w:val="24"/>
          <w:szCs w:val="24"/>
        </w:rPr>
        <w:t xml:space="preserve">требований </w:t>
      </w:r>
      <w:r w:rsidRPr="008409EB">
        <w:rPr>
          <w:rFonts w:eastAsia="Times New Roman"/>
          <w:color w:val="auto"/>
          <w:sz w:val="24"/>
          <w:szCs w:val="24"/>
        </w:rPr>
        <w:t>Федеральн</w:t>
      </w:r>
      <w:r w:rsidR="006E0716">
        <w:rPr>
          <w:rFonts w:eastAsia="Times New Roman"/>
          <w:color w:val="auto"/>
          <w:sz w:val="24"/>
          <w:szCs w:val="24"/>
        </w:rPr>
        <w:t>ого</w:t>
      </w:r>
      <w:r w:rsidRPr="004C6EB6">
        <w:rPr>
          <w:rFonts w:eastAsia="Times New Roman"/>
          <w:color w:val="auto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закон</w:t>
      </w:r>
      <w:r w:rsidR="006E0716">
        <w:rPr>
          <w:rFonts w:eastAsia="Times New Roman"/>
          <w:color w:val="auto"/>
          <w:sz w:val="24"/>
          <w:szCs w:val="24"/>
        </w:rPr>
        <w:t>а</w:t>
      </w:r>
      <w:r w:rsidRPr="004C6EB6">
        <w:rPr>
          <w:rFonts w:eastAsia="Times New Roman"/>
          <w:color w:val="auto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№353-ФЗ от 21.12.2013 г. «О потребительском кредите (займе)» (далее по тексту – ФЗ №353-ФЗ)</w:t>
      </w:r>
      <w:r w:rsidR="006C2A96">
        <w:rPr>
          <w:rFonts w:eastAsia="Times New Roman"/>
          <w:color w:val="auto"/>
          <w:sz w:val="24"/>
          <w:szCs w:val="24"/>
        </w:rPr>
        <w:t>,</w:t>
      </w:r>
      <w:r w:rsidRPr="008409EB">
        <w:rPr>
          <w:rFonts w:eastAsia="Times New Roman"/>
          <w:color w:val="auto"/>
          <w:sz w:val="24"/>
          <w:szCs w:val="24"/>
        </w:rPr>
        <w:t xml:space="preserve"> Федеральн</w:t>
      </w:r>
      <w:r w:rsidR="006E0716">
        <w:rPr>
          <w:rFonts w:eastAsia="Times New Roman"/>
          <w:color w:val="auto"/>
          <w:sz w:val="24"/>
          <w:szCs w:val="24"/>
        </w:rPr>
        <w:t>ого</w:t>
      </w:r>
      <w:r w:rsidRPr="008409EB">
        <w:rPr>
          <w:rFonts w:eastAsia="Times New Roman"/>
          <w:color w:val="auto"/>
          <w:sz w:val="24"/>
          <w:szCs w:val="24"/>
        </w:rPr>
        <w:t xml:space="preserve"> закон</w:t>
      </w:r>
      <w:r w:rsidR="006E0716">
        <w:rPr>
          <w:rFonts w:eastAsia="Times New Roman"/>
          <w:color w:val="auto"/>
          <w:sz w:val="24"/>
          <w:szCs w:val="24"/>
        </w:rPr>
        <w:t>а</w:t>
      </w:r>
      <w:r w:rsidRPr="008409EB">
        <w:rPr>
          <w:rFonts w:eastAsia="Times New Roman"/>
          <w:color w:val="auto"/>
          <w:sz w:val="24"/>
          <w:szCs w:val="24"/>
        </w:rPr>
        <w:t xml:space="preserve"> №230-ФЗ от 03.07.2016 г.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закон</w:t>
      </w:r>
      <w:r w:rsidRPr="008409EB">
        <w:rPr>
          <w:rFonts w:eastAsia="Times New Roman"/>
          <w:color w:val="auto"/>
          <w:spacing w:val="-11"/>
          <w:sz w:val="24"/>
          <w:szCs w:val="24"/>
        </w:rPr>
        <w:t xml:space="preserve"> </w:t>
      </w:r>
      <w:r w:rsidR="006C2A96">
        <w:rPr>
          <w:rFonts w:eastAsia="Times New Roman"/>
          <w:color w:val="auto"/>
          <w:sz w:val="24"/>
          <w:szCs w:val="24"/>
        </w:rPr>
        <w:t>«</w:t>
      </w:r>
      <w:r w:rsidRPr="008409EB">
        <w:rPr>
          <w:rFonts w:eastAsia="Times New Roman"/>
          <w:color w:val="auto"/>
          <w:sz w:val="24"/>
          <w:szCs w:val="24"/>
        </w:rPr>
        <w:t>О</w:t>
      </w:r>
      <w:r w:rsidRPr="008409EB">
        <w:rPr>
          <w:rFonts w:eastAsia="Times New Roman"/>
          <w:color w:val="auto"/>
          <w:spacing w:val="-10"/>
          <w:sz w:val="24"/>
          <w:szCs w:val="24"/>
        </w:rPr>
        <w:t> </w:t>
      </w:r>
      <w:r w:rsidRPr="008409EB">
        <w:rPr>
          <w:rFonts w:eastAsia="Times New Roman"/>
          <w:color w:val="auto"/>
          <w:sz w:val="24"/>
          <w:szCs w:val="24"/>
        </w:rPr>
        <w:t>микрофинансовой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деятельности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и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микрофинансовых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организациях</w:t>
      </w:r>
      <w:r w:rsidR="006C2A96">
        <w:rPr>
          <w:rFonts w:eastAsia="Times New Roman"/>
          <w:color w:val="auto"/>
          <w:sz w:val="24"/>
          <w:szCs w:val="24"/>
        </w:rPr>
        <w:t>»</w:t>
      </w:r>
      <w:r w:rsidRPr="008409EB">
        <w:rPr>
          <w:rFonts w:eastAsia="Times New Roman"/>
          <w:color w:val="auto"/>
          <w:spacing w:val="-6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(далее</w:t>
      </w:r>
      <w:r w:rsidRPr="008409EB">
        <w:rPr>
          <w:rFonts w:eastAsia="Times New Roman"/>
          <w:color w:val="auto"/>
          <w:spacing w:val="-8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по</w:t>
      </w:r>
      <w:r w:rsidRPr="008409EB">
        <w:rPr>
          <w:rFonts w:eastAsia="Times New Roman"/>
          <w:color w:val="auto"/>
          <w:spacing w:val="-9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тексту – ФЗ №230-ФЗ), Базов</w:t>
      </w:r>
      <w:r w:rsidR="006E0716">
        <w:rPr>
          <w:rFonts w:eastAsia="Times New Roman"/>
          <w:color w:val="auto"/>
          <w:sz w:val="24"/>
          <w:szCs w:val="24"/>
        </w:rPr>
        <w:t>ого</w:t>
      </w:r>
      <w:r w:rsidRPr="008409EB">
        <w:rPr>
          <w:rFonts w:eastAsia="Times New Roman"/>
          <w:color w:val="auto"/>
          <w:sz w:val="24"/>
          <w:szCs w:val="24"/>
        </w:rPr>
        <w:t xml:space="preserve"> стандарт</w:t>
      </w:r>
      <w:r w:rsidR="006E0716">
        <w:rPr>
          <w:rFonts w:eastAsia="Times New Roman"/>
          <w:color w:val="auto"/>
          <w:sz w:val="24"/>
          <w:szCs w:val="24"/>
        </w:rPr>
        <w:t>а</w:t>
      </w:r>
      <w:r w:rsidRPr="008409EB">
        <w:rPr>
          <w:rFonts w:eastAsia="Times New Roman"/>
          <w:color w:val="auto"/>
          <w:sz w:val="24"/>
          <w:szCs w:val="24"/>
        </w:rPr>
        <w:t xml:space="preserve">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организации, утв. Банком России 22.06.2017.</w:t>
      </w:r>
    </w:p>
    <w:p w14:paraId="60C5A345" w14:textId="507539F4" w:rsidR="00000F15" w:rsidRDefault="00000F15" w:rsidP="008409EB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000F15">
        <w:rPr>
          <w:rFonts w:eastAsia="Times New Roman"/>
          <w:color w:val="auto"/>
          <w:sz w:val="24"/>
          <w:szCs w:val="24"/>
          <w:u w:val="single"/>
        </w:rPr>
        <w:t>Организатором акции является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8409EB">
        <w:rPr>
          <w:rFonts w:eastAsia="Times New Roman"/>
          <w:color w:val="auto"/>
          <w:sz w:val="24"/>
          <w:szCs w:val="24"/>
        </w:rPr>
        <w:t>Обществ</w:t>
      </w:r>
      <w:r>
        <w:rPr>
          <w:rFonts w:eastAsia="Times New Roman"/>
          <w:color w:val="auto"/>
          <w:sz w:val="24"/>
          <w:szCs w:val="24"/>
        </w:rPr>
        <w:t>о</w:t>
      </w:r>
      <w:r w:rsidRPr="008409EB">
        <w:rPr>
          <w:rFonts w:eastAsia="Times New Roman"/>
          <w:color w:val="auto"/>
          <w:sz w:val="24"/>
          <w:szCs w:val="24"/>
        </w:rPr>
        <w:t xml:space="preserve"> с ограниченной ответственностью «Микрокредитная компания ФИНРЕСУРС»</w:t>
      </w:r>
      <w:r>
        <w:rPr>
          <w:rFonts w:eastAsia="Times New Roman"/>
          <w:color w:val="auto"/>
          <w:sz w:val="24"/>
          <w:szCs w:val="24"/>
        </w:rPr>
        <w:t>.</w:t>
      </w:r>
    </w:p>
    <w:p w14:paraId="3C3D3117" w14:textId="4C129C37" w:rsidR="00000F15" w:rsidRDefault="00000F15" w:rsidP="008409EB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000F15">
        <w:rPr>
          <w:rFonts w:eastAsia="Times New Roman"/>
          <w:color w:val="auto"/>
          <w:sz w:val="24"/>
          <w:szCs w:val="24"/>
          <w:u w:val="single"/>
        </w:rPr>
        <w:t>Сроки проведения акции</w:t>
      </w:r>
      <w:r>
        <w:rPr>
          <w:rFonts w:eastAsia="Times New Roman"/>
          <w:color w:val="auto"/>
          <w:sz w:val="24"/>
          <w:szCs w:val="24"/>
        </w:rPr>
        <w:t xml:space="preserve"> – с «</w:t>
      </w:r>
      <w:r w:rsidR="0051544C">
        <w:rPr>
          <w:rFonts w:eastAsia="Times New Roman"/>
          <w:color w:val="auto"/>
          <w:sz w:val="24"/>
          <w:szCs w:val="24"/>
        </w:rPr>
        <w:t>24</w:t>
      </w:r>
      <w:r>
        <w:rPr>
          <w:rFonts w:eastAsia="Times New Roman"/>
          <w:color w:val="auto"/>
          <w:sz w:val="24"/>
          <w:szCs w:val="24"/>
        </w:rPr>
        <w:t xml:space="preserve">» </w:t>
      </w:r>
      <w:r w:rsidR="0051544C">
        <w:rPr>
          <w:rFonts w:eastAsia="Times New Roman"/>
          <w:color w:val="auto"/>
          <w:sz w:val="24"/>
          <w:szCs w:val="24"/>
        </w:rPr>
        <w:t>апреля</w:t>
      </w:r>
      <w:r>
        <w:rPr>
          <w:rFonts w:eastAsia="Times New Roman"/>
          <w:color w:val="auto"/>
          <w:sz w:val="24"/>
          <w:szCs w:val="24"/>
        </w:rPr>
        <w:t xml:space="preserve"> 202</w:t>
      </w:r>
      <w:r w:rsidR="0051544C">
        <w:rPr>
          <w:rFonts w:eastAsia="Times New Roman"/>
          <w:color w:val="auto"/>
          <w:sz w:val="24"/>
          <w:szCs w:val="24"/>
        </w:rPr>
        <w:t>3</w:t>
      </w:r>
      <w:r>
        <w:rPr>
          <w:rFonts w:eastAsia="Times New Roman"/>
          <w:color w:val="auto"/>
          <w:sz w:val="24"/>
          <w:szCs w:val="24"/>
        </w:rPr>
        <w:t xml:space="preserve"> года по «31» </w:t>
      </w:r>
      <w:r w:rsidR="0051544C">
        <w:rPr>
          <w:rFonts w:eastAsia="Times New Roman"/>
          <w:color w:val="auto"/>
          <w:sz w:val="24"/>
          <w:szCs w:val="24"/>
        </w:rPr>
        <w:t>мая</w:t>
      </w:r>
      <w:r>
        <w:rPr>
          <w:rFonts w:eastAsia="Times New Roman"/>
          <w:color w:val="auto"/>
          <w:sz w:val="24"/>
          <w:szCs w:val="24"/>
        </w:rPr>
        <w:t xml:space="preserve"> 202</w:t>
      </w:r>
      <w:r w:rsidR="0051544C">
        <w:rPr>
          <w:rFonts w:eastAsia="Times New Roman"/>
          <w:color w:val="auto"/>
          <w:sz w:val="24"/>
          <w:szCs w:val="24"/>
        </w:rPr>
        <w:t>3</w:t>
      </w:r>
      <w:r>
        <w:rPr>
          <w:rFonts w:eastAsia="Times New Roman"/>
          <w:color w:val="auto"/>
          <w:sz w:val="24"/>
          <w:szCs w:val="24"/>
        </w:rPr>
        <w:t xml:space="preserve"> года.</w:t>
      </w:r>
    </w:p>
    <w:p w14:paraId="0D8EE860" w14:textId="539B0AC6" w:rsidR="003A2C40" w:rsidRDefault="003A2C40" w:rsidP="008409EB">
      <w:pPr>
        <w:widowControl w:val="0"/>
        <w:spacing w:after="0" w:line="240" w:lineRule="auto"/>
        <w:ind w:left="-851" w:firstLine="709"/>
        <w:jc w:val="both"/>
        <w:rPr>
          <w:color w:val="auto"/>
          <w:sz w:val="24"/>
          <w:szCs w:val="24"/>
        </w:rPr>
      </w:pPr>
      <w:r w:rsidRPr="003A2C40">
        <w:rPr>
          <w:color w:val="auto"/>
          <w:sz w:val="24"/>
          <w:szCs w:val="24"/>
        </w:rPr>
        <w:t>Место проведения акции - 109316, Москва, Волгоградский проспект, д. 43, корп. 3, пом.</w:t>
      </w:r>
      <w:r>
        <w:rPr>
          <w:color w:val="auto"/>
          <w:sz w:val="24"/>
          <w:szCs w:val="24"/>
        </w:rPr>
        <w:t> </w:t>
      </w:r>
      <w:r w:rsidRPr="003A2C40">
        <w:rPr>
          <w:color w:val="auto"/>
          <w:sz w:val="24"/>
          <w:szCs w:val="24"/>
        </w:rPr>
        <w:t>XXIV</w:t>
      </w:r>
      <w:r w:rsidR="00B540EE">
        <w:rPr>
          <w:color w:val="auto"/>
          <w:sz w:val="24"/>
          <w:szCs w:val="24"/>
        </w:rPr>
        <w:t>.</w:t>
      </w:r>
    </w:p>
    <w:p w14:paraId="597D7B58" w14:textId="3307118A" w:rsidR="000A7662" w:rsidRPr="008409EB" w:rsidRDefault="000A7662" w:rsidP="008409EB">
      <w:pPr>
        <w:widowControl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8409EB">
        <w:rPr>
          <w:color w:val="auto"/>
          <w:sz w:val="24"/>
          <w:szCs w:val="24"/>
        </w:rPr>
        <w:t xml:space="preserve">Настоящий документ размещается в информационно-телекоммуникационной сети Интернет на </w:t>
      </w:r>
      <w:r w:rsidR="003A2C40" w:rsidRPr="008409EB">
        <w:rPr>
          <w:color w:val="auto"/>
          <w:sz w:val="24"/>
          <w:szCs w:val="24"/>
        </w:rPr>
        <w:t>сайт</w:t>
      </w:r>
      <w:r w:rsidR="003A2C40">
        <w:rPr>
          <w:color w:val="auto"/>
          <w:sz w:val="24"/>
          <w:szCs w:val="24"/>
        </w:rPr>
        <w:t>ах</w:t>
      </w:r>
      <w:r w:rsidR="003A2C40" w:rsidRPr="008409EB">
        <w:rPr>
          <w:color w:val="auto"/>
          <w:sz w:val="24"/>
          <w:szCs w:val="24"/>
        </w:rPr>
        <w:t xml:space="preserve"> </w:t>
      </w:r>
      <w:hyperlink r:id="rId8" w:history="1">
        <w:r w:rsidRPr="008409EB">
          <w:rPr>
            <w:rFonts w:eastAsia="Tahoma"/>
            <w:color w:val="auto"/>
            <w:sz w:val="24"/>
            <w:szCs w:val="24"/>
            <w:lang w:val="en-US"/>
          </w:rPr>
          <w:t>https</w:t>
        </w:r>
        <w:r w:rsidRPr="008409EB">
          <w:rPr>
            <w:rFonts w:eastAsia="Tahoma"/>
            <w:color w:val="auto"/>
            <w:sz w:val="24"/>
            <w:szCs w:val="24"/>
          </w:rPr>
          <w:t>://</w:t>
        </w:r>
        <w:r w:rsidRPr="008409EB">
          <w:rPr>
            <w:rFonts w:eastAsia="Tahoma"/>
            <w:color w:val="auto"/>
            <w:sz w:val="24"/>
            <w:szCs w:val="24"/>
            <w:lang w:val="en-US"/>
          </w:rPr>
          <w:t>mkkfinres</w:t>
        </w:r>
        <w:r w:rsidRPr="008409EB">
          <w:rPr>
            <w:rFonts w:eastAsia="Tahoma"/>
            <w:color w:val="auto"/>
            <w:sz w:val="24"/>
            <w:szCs w:val="24"/>
          </w:rPr>
          <w:t>.</w:t>
        </w:r>
        <w:r w:rsidRPr="008409EB">
          <w:rPr>
            <w:rFonts w:eastAsia="Tahoma"/>
            <w:color w:val="auto"/>
            <w:sz w:val="24"/>
            <w:szCs w:val="24"/>
            <w:lang w:val="en-US"/>
          </w:rPr>
          <w:t>ru</w:t>
        </w:r>
      </w:hyperlink>
      <w:r w:rsidRPr="008409EB">
        <w:rPr>
          <w:color w:val="auto"/>
          <w:sz w:val="24"/>
          <w:szCs w:val="24"/>
        </w:rPr>
        <w:t>,</w:t>
      </w:r>
      <w:r w:rsidR="003A2C40">
        <w:rPr>
          <w:color w:val="auto"/>
          <w:sz w:val="24"/>
          <w:szCs w:val="24"/>
        </w:rPr>
        <w:t xml:space="preserve"> </w:t>
      </w:r>
      <w:r w:rsidR="003A2C40" w:rsidRPr="003A2C40">
        <w:rPr>
          <w:color w:val="auto"/>
          <w:sz w:val="24"/>
          <w:szCs w:val="24"/>
        </w:rPr>
        <w:t>https://zdeslegko.ru/</w:t>
      </w:r>
      <w:r w:rsidRPr="008409EB">
        <w:rPr>
          <w:color w:val="auto"/>
          <w:sz w:val="24"/>
          <w:szCs w:val="24"/>
        </w:rPr>
        <w:t xml:space="preserve"> в местах оказания финансовых услуг</w:t>
      </w:r>
      <w:r w:rsidR="003A2C40">
        <w:rPr>
          <w:color w:val="auto"/>
          <w:sz w:val="24"/>
          <w:szCs w:val="24"/>
        </w:rPr>
        <w:t>, а также офисах партнёров</w:t>
      </w:r>
      <w:r w:rsidRPr="008409EB">
        <w:rPr>
          <w:color w:val="auto"/>
          <w:sz w:val="24"/>
          <w:szCs w:val="24"/>
        </w:rPr>
        <w:t xml:space="preserve"> и содержит следующую информацию:</w:t>
      </w:r>
      <w:r w:rsidRPr="008409EB">
        <w:rPr>
          <w:rFonts w:eastAsia="Times New Roman"/>
          <w:color w:val="auto"/>
          <w:sz w:val="24"/>
          <w:szCs w:val="24"/>
        </w:rPr>
        <w:t xml:space="preserve"> </w:t>
      </w:r>
    </w:p>
    <w:p w14:paraId="00C4C24E" w14:textId="77777777" w:rsidR="000A7662" w:rsidRPr="008409EB" w:rsidRDefault="000A7662">
      <w:pPr>
        <w:rPr>
          <w:sz w:val="24"/>
          <w:szCs w:val="24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77"/>
        <w:gridCol w:w="7530"/>
      </w:tblGrid>
      <w:tr w:rsidR="00A92BE8" w:rsidRPr="008409EB" w14:paraId="5F3AE8ED" w14:textId="77777777" w:rsidTr="00914396">
        <w:tc>
          <w:tcPr>
            <w:tcW w:w="2677" w:type="dxa"/>
          </w:tcPr>
          <w:p w14:paraId="1C17C050" w14:textId="41FDF783" w:rsidR="001410A3" w:rsidRPr="008409EB" w:rsidRDefault="00553235" w:rsidP="008409EB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1410A3"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="00FB4D20" w:rsidRPr="008409E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410A3" w:rsidRPr="008409EB">
              <w:rPr>
                <w:rFonts w:ascii="Times New Roman" w:eastAsia="Times New Roman" w:hAnsi="Times New Roman"/>
                <w:sz w:val="24"/>
                <w:szCs w:val="24"/>
              </w:rPr>
              <w:t>редитора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638C986" w14:textId="77777777" w:rsidR="009B7E60" w:rsidRPr="008409EB" w:rsidRDefault="009B7E60" w:rsidP="008409EB">
            <w:pPr>
              <w:pStyle w:val="a6"/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419BF5FE" w14:textId="6B7A1F9A" w:rsidR="001410A3" w:rsidRPr="008409EB" w:rsidRDefault="001410A3" w:rsidP="0093674A">
            <w:pPr>
              <w:pStyle w:val="a6"/>
              <w:widowControl w:val="0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Общество с ограниченной ответственностью «Микрокредитная компания ФИНРЕСУРС» (сокращенное наименование</w:t>
            </w:r>
            <w:r w:rsidR="006C2A96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ООО «МКК ФИНРЕСУРС») </w:t>
            </w:r>
          </w:p>
          <w:p w14:paraId="7AE8E880" w14:textId="74072340" w:rsidR="001410A3" w:rsidRPr="008409EB" w:rsidRDefault="001410A3" w:rsidP="001410A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ОГРН 1177746195142</w:t>
            </w:r>
          </w:p>
          <w:p w14:paraId="09B752FD" w14:textId="77777777" w:rsidR="001410A3" w:rsidRPr="008409EB" w:rsidRDefault="001410A3" w:rsidP="001410A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ИНН 7722391540 </w:t>
            </w:r>
          </w:p>
          <w:p w14:paraId="0B97F266" w14:textId="4C4D5904" w:rsidR="009B7E60" w:rsidRPr="008409EB" w:rsidRDefault="001410A3" w:rsidP="000D2846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КПП 772201001</w:t>
            </w:r>
          </w:p>
        </w:tc>
      </w:tr>
      <w:tr w:rsidR="009B7E60" w:rsidRPr="008409EB" w14:paraId="7681B7E2" w14:textId="77777777" w:rsidTr="00914396">
        <w:tc>
          <w:tcPr>
            <w:tcW w:w="2677" w:type="dxa"/>
          </w:tcPr>
          <w:p w14:paraId="0C3FB983" w14:textId="5B570897" w:rsidR="009B7E60" w:rsidRPr="008409EB" w:rsidRDefault="00442618" w:rsidP="004426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1.1. </w:t>
            </w:r>
            <w:r w:rsidR="001410A3" w:rsidRPr="008409EB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  <w:r w:rsidR="00FB4D20" w:rsidRPr="008409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673B3A0A" w14:textId="12D37A12" w:rsidR="001410A3" w:rsidRPr="008409EB" w:rsidRDefault="001410A3" w:rsidP="0093674A">
            <w:pPr>
              <w:pStyle w:val="a6"/>
              <w:widowControl w:val="0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109316, Москва, Волгоградский проспект, д. 43, корп. 3, пом. XXIV, ком. 9 “Л”.</w:t>
            </w:r>
          </w:p>
          <w:p w14:paraId="03BCA139" w14:textId="77777777" w:rsidR="009B7E60" w:rsidRPr="008409EB" w:rsidRDefault="009B7E60">
            <w:pPr>
              <w:rPr>
                <w:sz w:val="24"/>
                <w:szCs w:val="24"/>
              </w:rPr>
            </w:pPr>
          </w:p>
        </w:tc>
      </w:tr>
      <w:tr w:rsidR="00C2008F" w:rsidRPr="008409EB" w14:paraId="486A4A51" w14:textId="77777777" w:rsidTr="00914396">
        <w:tc>
          <w:tcPr>
            <w:tcW w:w="2677" w:type="dxa"/>
          </w:tcPr>
          <w:p w14:paraId="609D7945" w14:textId="6163161E" w:rsidR="009B7E60" w:rsidRPr="00442618" w:rsidRDefault="00442618" w:rsidP="0044261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1.2. </w:t>
            </w:r>
            <w:r w:rsidR="001410A3" w:rsidRPr="00442618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телефон, по которому осуществляется связь с Кредитором</w:t>
            </w:r>
            <w:r w:rsidR="00FB4D20" w:rsidRPr="004426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0D31EA38" w14:textId="1C743F0E" w:rsidR="001410A3" w:rsidRPr="008409EB" w:rsidRDefault="001410A3" w:rsidP="0093674A">
            <w:pPr>
              <w:pStyle w:val="a6"/>
              <w:spacing w:after="0" w:line="240" w:lineRule="auto"/>
              <w:ind w:left="0" w:firstLine="5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+7 (495) </w:t>
            </w:r>
            <w:r w:rsidR="00487F5C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87F5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87F5C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  <w:p w14:paraId="144223F6" w14:textId="77777777" w:rsidR="009B7E60" w:rsidRPr="008409EB" w:rsidRDefault="009B7E60" w:rsidP="001410A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08F" w:rsidRPr="008409EB" w14:paraId="1A45FC52" w14:textId="77777777" w:rsidTr="00914396">
        <w:tc>
          <w:tcPr>
            <w:tcW w:w="2677" w:type="dxa"/>
          </w:tcPr>
          <w:p w14:paraId="0AE13A1F" w14:textId="1A8A6660" w:rsidR="009B7E60" w:rsidRPr="00442618" w:rsidRDefault="00442618" w:rsidP="0044261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1.3. </w:t>
            </w:r>
            <w:r w:rsidR="001410A3" w:rsidRPr="00442618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в информационно-телекоммуникационной сети «Интернет»</w:t>
            </w:r>
            <w:r w:rsidR="002454B6" w:rsidRPr="004426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7D7F5DFF" w14:textId="684D057F" w:rsidR="009B7E60" w:rsidRPr="008409EB" w:rsidRDefault="006952D7" w:rsidP="0093674A">
            <w:pPr>
              <w:pStyle w:val="a6"/>
              <w:spacing w:after="0" w:line="240" w:lineRule="auto"/>
              <w:ind w:left="0" w:firstLine="53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1410A3" w:rsidRPr="008409EB">
                <w:rPr>
                  <w:rFonts w:ascii="Times New Roman" w:eastAsia="Times New Roman" w:hAnsi="Times New Roman"/>
                  <w:sz w:val="24"/>
                  <w:szCs w:val="24"/>
                </w:rPr>
                <w:t>https://mkkfinres.ru</w:t>
              </w:r>
            </w:hyperlink>
          </w:p>
        </w:tc>
      </w:tr>
      <w:tr w:rsidR="000D2846" w:rsidRPr="008409EB" w14:paraId="6D422F9E" w14:textId="77777777" w:rsidTr="00914396">
        <w:tc>
          <w:tcPr>
            <w:tcW w:w="2677" w:type="dxa"/>
          </w:tcPr>
          <w:p w14:paraId="205BFE7B" w14:textId="0FB8531C" w:rsidR="009B7E60" w:rsidRPr="008409EB" w:rsidRDefault="00442618" w:rsidP="0044261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1.4. </w:t>
            </w:r>
            <w:r w:rsidR="00FB4D20" w:rsidRPr="008409EB">
              <w:rPr>
                <w:rFonts w:ascii="Times New Roman" w:eastAsia="Times New Roman" w:hAnsi="Times New Roman"/>
                <w:sz w:val="24"/>
                <w:szCs w:val="24"/>
              </w:rPr>
              <w:t>Информация о Внесении сведений в государственный реестр микрофинансовых организаций и членстве в саморегулируемой организации</w:t>
            </w:r>
            <w:r w:rsidR="002454B6" w:rsidRPr="008409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7DF8C9E9" w14:textId="77777777" w:rsidR="00FB4D20" w:rsidRPr="008409EB" w:rsidRDefault="00FB4D20" w:rsidP="0093674A">
            <w:pPr>
              <w:pStyle w:val="a6"/>
              <w:widowControl w:val="0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Кредитор внесен в Государственный реестр микрофинансовых организаций за №1703045008417, дата внесения в реестр 01.08.2017 г.</w:t>
            </w:r>
          </w:p>
          <w:p w14:paraId="4C66F82A" w14:textId="412F028E" w:rsidR="00FB4D20" w:rsidRPr="008409EB" w:rsidRDefault="00FB4D20" w:rsidP="00FB4D20">
            <w:pPr>
              <w:pStyle w:val="a6"/>
              <w:widowControl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Кредитор является членом Саморегулируемой организации Союза микрофинансовых организаций «Микрофинансирование и Развитие» (СРО </w:t>
            </w:r>
            <w:r w:rsidR="009B72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r w:rsidR="009B72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) (регистрационный номер в реестре членов СРО </w:t>
            </w:r>
            <w:r w:rsidR="009B72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r w:rsidR="009B72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– 77000876, дата регистрации 29.08.2017).</w:t>
            </w:r>
          </w:p>
          <w:p w14:paraId="043E835D" w14:textId="77777777" w:rsidR="009B7E60" w:rsidRPr="008409EB" w:rsidRDefault="009B7E60" w:rsidP="00FB4D2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2618" w:rsidRPr="008409EB" w14:paraId="3B0E54AB" w14:textId="77777777" w:rsidTr="00914396">
        <w:tc>
          <w:tcPr>
            <w:tcW w:w="2677" w:type="dxa"/>
          </w:tcPr>
          <w:p w14:paraId="51642235" w14:textId="73FFD41F" w:rsidR="009B7E60" w:rsidRPr="00442618" w:rsidRDefault="00442618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2. </w:t>
            </w:r>
            <w:r w:rsidR="00FB4D20" w:rsidRPr="00442618">
              <w:rPr>
                <w:rFonts w:eastAsia="Times New Roman"/>
                <w:color w:val="auto"/>
                <w:sz w:val="24"/>
                <w:szCs w:val="24"/>
              </w:rPr>
              <w:t xml:space="preserve">Требования к Заёмщику, которые установлены Кредитором и выполнение которых является обязательным для предоставления потребительского </w:t>
            </w:r>
            <w:r w:rsidR="00FB4D20" w:rsidRPr="000853C9">
              <w:rPr>
                <w:rFonts w:eastAsia="Times New Roman"/>
                <w:sz w:val="24"/>
                <w:szCs w:val="24"/>
              </w:rPr>
              <w:t>микрозайма</w:t>
            </w:r>
            <w:r w:rsidR="000853C9" w:rsidRPr="000853C9">
              <w:rPr>
                <w:rFonts w:eastAsia="Times New Roman"/>
                <w:sz w:val="24"/>
                <w:szCs w:val="24"/>
              </w:rPr>
              <w:t xml:space="preserve"> на условиях Акции</w:t>
            </w:r>
            <w:r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4E028744" w14:textId="758085E5" w:rsidR="00FB4D20" w:rsidRPr="00442618" w:rsidRDefault="00FB4D20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="004C4258">
              <w:rPr>
                <w:rFonts w:eastAsia="Times New Roman"/>
                <w:color w:val="auto"/>
                <w:sz w:val="24"/>
                <w:szCs w:val="24"/>
              </w:rPr>
              <w:t xml:space="preserve"> п</w:t>
            </w:r>
            <w:r w:rsidRPr="00442618">
              <w:rPr>
                <w:rFonts w:eastAsia="Times New Roman"/>
                <w:color w:val="auto"/>
                <w:sz w:val="24"/>
                <w:szCs w:val="24"/>
              </w:rPr>
              <w:t>отенциальный Заёмщик является дееспособным гражданином РФ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;</w:t>
            </w:r>
            <w:r w:rsidRPr="00442618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</w:p>
          <w:p w14:paraId="6F74E65E" w14:textId="5E9D9EDF" w:rsidR="009B7E60" w:rsidRPr="00442618" w:rsidRDefault="00FB4D20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="004C4258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в</w:t>
            </w:r>
            <w:r w:rsidR="00680B57">
              <w:rPr>
                <w:rFonts w:eastAsia="Times New Roman"/>
                <w:color w:val="auto"/>
                <w:sz w:val="24"/>
                <w:szCs w:val="24"/>
              </w:rPr>
              <w:t xml:space="preserve">озраст </w:t>
            </w:r>
            <w:r w:rsidRPr="00442618">
              <w:rPr>
                <w:rFonts w:eastAsia="Times New Roman"/>
                <w:color w:val="auto"/>
                <w:sz w:val="24"/>
                <w:szCs w:val="24"/>
              </w:rPr>
              <w:t>21-65 лет</w:t>
            </w:r>
            <w:r w:rsidR="00680B57">
              <w:rPr>
                <w:rFonts w:eastAsia="Times New Roman"/>
                <w:color w:val="auto"/>
                <w:sz w:val="24"/>
                <w:szCs w:val="24"/>
              </w:rPr>
              <w:t xml:space="preserve"> на момент заключения договора потребительского микрозайма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;</w:t>
            </w:r>
          </w:p>
          <w:p w14:paraId="2CA1DEDE" w14:textId="70D7DCAD" w:rsidR="002454B6" w:rsidRPr="00442618" w:rsidRDefault="002454B6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="004C4258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з</w:t>
            </w:r>
            <w:r w:rsidR="00680B57">
              <w:rPr>
                <w:rFonts w:eastAsia="Times New Roman"/>
                <w:color w:val="auto"/>
                <w:sz w:val="24"/>
                <w:szCs w:val="24"/>
              </w:rPr>
              <w:t xml:space="preserve">арегистрирован по месту жительства на территории </w:t>
            </w:r>
            <w:r w:rsidR="00680B57" w:rsidRPr="00906F51">
              <w:rPr>
                <w:rFonts w:eastAsia="Times New Roman"/>
                <w:color w:val="auto"/>
                <w:sz w:val="24"/>
                <w:szCs w:val="24"/>
              </w:rPr>
              <w:t>Москвы</w:t>
            </w:r>
            <w:r w:rsidR="00906F51" w:rsidRPr="00906F51">
              <w:rPr>
                <w:rFonts w:eastAsia="Times New Roman"/>
                <w:color w:val="auto"/>
                <w:sz w:val="24"/>
                <w:szCs w:val="24"/>
              </w:rPr>
              <w:t>,</w:t>
            </w:r>
            <w:r w:rsidR="00680B57" w:rsidRPr="00906F51">
              <w:rPr>
                <w:rFonts w:eastAsia="Times New Roman"/>
                <w:color w:val="auto"/>
                <w:sz w:val="24"/>
                <w:szCs w:val="24"/>
              </w:rPr>
              <w:t xml:space="preserve"> Московской области</w:t>
            </w:r>
            <w:r w:rsidR="00906F51" w:rsidRPr="00906F51">
              <w:rPr>
                <w:rFonts w:eastAsia="Times New Roman"/>
                <w:color w:val="auto"/>
                <w:sz w:val="24"/>
                <w:szCs w:val="24"/>
              </w:rPr>
              <w:t>,</w:t>
            </w:r>
            <w:r w:rsidR="00906F51" w:rsidRPr="004C6EB6">
              <w:rPr>
                <w:rFonts w:eastAsia="Times New Roman"/>
                <w:color w:val="auto"/>
                <w:sz w:val="24"/>
                <w:szCs w:val="24"/>
              </w:rPr>
              <w:t xml:space="preserve"> Санкт-Петербурга и Ленинградской области,</w:t>
            </w:r>
            <w:r w:rsidR="00680B57">
              <w:rPr>
                <w:rFonts w:eastAsia="Times New Roman"/>
                <w:color w:val="auto"/>
                <w:sz w:val="24"/>
                <w:szCs w:val="24"/>
              </w:rPr>
              <w:t xml:space="preserve"> и с момента такой регистрации прошло не менее 6 месяцев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;</w:t>
            </w:r>
          </w:p>
          <w:p w14:paraId="58EFA2FE" w14:textId="63EB2E50" w:rsidR="002454B6" w:rsidRPr="00442618" w:rsidRDefault="002454B6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="004C4258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наличие постоянного источника дохода;</w:t>
            </w:r>
          </w:p>
          <w:p w14:paraId="7C4CDAE3" w14:textId="0E430652" w:rsidR="002454B6" w:rsidRDefault="002454B6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="004C4258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>д</w:t>
            </w:r>
            <w:r w:rsidRPr="00442618">
              <w:rPr>
                <w:rFonts w:eastAsia="Times New Roman"/>
                <w:color w:val="auto"/>
                <w:sz w:val="24"/>
                <w:szCs w:val="24"/>
              </w:rPr>
              <w:t xml:space="preserve">олжен быть собственником </w:t>
            </w:r>
            <w:r w:rsidR="00C91422">
              <w:rPr>
                <w:rFonts w:eastAsia="Times New Roman"/>
                <w:color w:val="auto"/>
                <w:sz w:val="24"/>
                <w:szCs w:val="24"/>
              </w:rPr>
              <w:t xml:space="preserve">передаваемого в залог </w:t>
            </w:r>
            <w:r w:rsidRPr="00442618">
              <w:rPr>
                <w:rFonts w:eastAsia="Times New Roman"/>
                <w:color w:val="auto"/>
                <w:sz w:val="24"/>
                <w:szCs w:val="24"/>
              </w:rPr>
              <w:t>транспортного средства</w:t>
            </w:r>
            <w:r w:rsidR="00487F5C">
              <w:rPr>
                <w:rFonts w:eastAsia="Times New Roman"/>
                <w:color w:val="auto"/>
                <w:sz w:val="24"/>
                <w:szCs w:val="24"/>
              </w:rPr>
              <w:t>;</w:t>
            </w:r>
          </w:p>
          <w:p w14:paraId="50426753" w14:textId="5F779C51" w:rsidR="000853C9" w:rsidRPr="003E52DD" w:rsidRDefault="004C6EB6" w:rsidP="004C6E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DD">
              <w:rPr>
                <w:rFonts w:ascii="Times New Roman" w:hAnsi="Times New Roman"/>
                <w:color w:val="FF0000"/>
                <w:sz w:val="24"/>
                <w:szCs w:val="24"/>
              </w:rPr>
              <w:t>Особые требования,</w:t>
            </w:r>
            <w:r w:rsidR="000853C9" w:rsidRPr="003E52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предъявляемые </w:t>
            </w:r>
            <w:r w:rsidR="00FB69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Кредитором </w:t>
            </w:r>
            <w:r w:rsidR="000853C9" w:rsidRPr="003E52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 Заемщику для участия в </w:t>
            </w:r>
            <w:r w:rsidR="000853C9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0853C9" w:rsidRPr="003E52DD">
              <w:rPr>
                <w:rFonts w:ascii="Times New Roman" w:hAnsi="Times New Roman"/>
                <w:color w:val="FF0000"/>
                <w:sz w:val="24"/>
                <w:szCs w:val="24"/>
              </w:rPr>
              <w:t>кции:</w:t>
            </w:r>
          </w:p>
          <w:p w14:paraId="1E82B24C" w14:textId="6BB9A04B" w:rsidR="000853C9" w:rsidRPr="003E52DD" w:rsidRDefault="000853C9" w:rsidP="000853C9">
            <w:pPr>
              <w:widowControl w:val="0"/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3E52DD">
              <w:rPr>
                <w:rFonts w:eastAsia="Times New Roman"/>
                <w:sz w:val="24"/>
                <w:szCs w:val="24"/>
              </w:rPr>
              <w:t xml:space="preserve">- отсутствие текущей просроченной задолженности по </w:t>
            </w:r>
            <w:r w:rsidRPr="00906F51">
              <w:rPr>
                <w:rFonts w:eastAsia="Times New Roman"/>
                <w:sz w:val="24"/>
                <w:szCs w:val="24"/>
              </w:rPr>
              <w:t>займам/</w:t>
            </w:r>
            <w:r w:rsidR="004C6EB6" w:rsidRPr="00906F51">
              <w:rPr>
                <w:rFonts w:eastAsia="Times New Roman"/>
                <w:sz w:val="24"/>
                <w:szCs w:val="24"/>
              </w:rPr>
              <w:t>кредитам,</w:t>
            </w:r>
            <w:r w:rsidRPr="003E52DD">
              <w:rPr>
                <w:rFonts w:eastAsia="Times New Roman"/>
                <w:sz w:val="24"/>
                <w:szCs w:val="24"/>
              </w:rPr>
              <w:t xml:space="preserve"> предоставленным Заемщику третьими лицами;</w:t>
            </w:r>
          </w:p>
          <w:p w14:paraId="16FECA9B" w14:textId="40C85301" w:rsidR="000853C9" w:rsidRPr="003E52DD" w:rsidRDefault="000853C9" w:rsidP="000853C9">
            <w:pPr>
              <w:widowControl w:val="0"/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3E52DD">
              <w:rPr>
                <w:rFonts w:eastAsia="Times New Roman"/>
                <w:sz w:val="24"/>
                <w:szCs w:val="24"/>
              </w:rPr>
              <w:t>- показатель долговой нагрузки Заемщика</w:t>
            </w:r>
            <w:r w:rsidR="00FB6925">
              <w:rPr>
                <w:rFonts w:eastAsia="Times New Roman"/>
                <w:sz w:val="24"/>
                <w:szCs w:val="24"/>
              </w:rPr>
              <w:t>,</w:t>
            </w:r>
            <w:r w:rsidRPr="003E52DD">
              <w:rPr>
                <w:rFonts w:eastAsia="Times New Roman"/>
                <w:sz w:val="24"/>
                <w:szCs w:val="24"/>
              </w:rPr>
              <w:t xml:space="preserve"> рассчитанный Кредитором на основании данных </w:t>
            </w:r>
            <w:r w:rsidR="004C6EB6" w:rsidRPr="003E52DD">
              <w:rPr>
                <w:rFonts w:eastAsia="Times New Roman"/>
                <w:sz w:val="24"/>
                <w:szCs w:val="24"/>
              </w:rPr>
              <w:t>кредитной истории,</w:t>
            </w:r>
            <w:r w:rsidRPr="003E52DD">
              <w:rPr>
                <w:rFonts w:eastAsia="Times New Roman"/>
                <w:sz w:val="24"/>
                <w:szCs w:val="24"/>
              </w:rPr>
              <w:t xml:space="preserve"> не превышает 50%;</w:t>
            </w:r>
          </w:p>
          <w:p w14:paraId="3C5627D2" w14:textId="77777777" w:rsidR="000853C9" w:rsidRDefault="000853C9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098128FE" w14:textId="544A0544" w:rsidR="00FB4D20" w:rsidRPr="00442618" w:rsidRDefault="00C91422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</w:t>
            </w:r>
            <w:r w:rsidR="002454B6" w:rsidRPr="00442618">
              <w:rPr>
                <w:rFonts w:eastAsia="Times New Roman"/>
                <w:color w:val="auto"/>
                <w:sz w:val="24"/>
                <w:szCs w:val="24"/>
              </w:rPr>
              <w:t xml:space="preserve">ри принятии решения о выдаче или отказе от выдачи микрозайма Кредитор с целью оценки кредитоспособности Заёмщика также учитывает иные критерии и обстоятельства. </w:t>
            </w:r>
          </w:p>
        </w:tc>
      </w:tr>
      <w:tr w:rsidR="00442618" w:rsidRPr="00442618" w14:paraId="041F2A60" w14:textId="77777777" w:rsidTr="00914396">
        <w:tc>
          <w:tcPr>
            <w:tcW w:w="2677" w:type="dxa"/>
          </w:tcPr>
          <w:p w14:paraId="56E97671" w14:textId="22BE2601" w:rsidR="009B7E60" w:rsidRPr="00442618" w:rsidRDefault="00442618" w:rsidP="00442618">
            <w:pPr>
              <w:widowControl w:val="0"/>
              <w:tabs>
                <w:tab w:val="left" w:pos="0"/>
              </w:tabs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rFonts w:eastAsia="Times New Roman"/>
                <w:color w:val="auto"/>
                <w:sz w:val="24"/>
                <w:szCs w:val="24"/>
              </w:rPr>
              <w:t xml:space="preserve">3. </w:t>
            </w:r>
            <w:r w:rsidR="000E72F7" w:rsidRPr="00442618">
              <w:rPr>
                <w:rFonts w:eastAsia="Times New Roman"/>
                <w:color w:val="auto"/>
                <w:sz w:val="24"/>
                <w:szCs w:val="24"/>
              </w:rPr>
              <w:t>Сроки рассмотрения</w:t>
            </w:r>
            <w:r w:rsidR="00EC3EE9">
              <w:rPr>
                <w:rFonts w:eastAsia="Times New Roman"/>
                <w:color w:val="auto"/>
                <w:sz w:val="24"/>
                <w:szCs w:val="24"/>
              </w:rPr>
              <w:t>,</w:t>
            </w:r>
            <w:r w:rsidR="000E72F7" w:rsidRPr="00442618">
              <w:rPr>
                <w:rFonts w:eastAsia="Times New Roman"/>
                <w:color w:val="auto"/>
                <w:sz w:val="24"/>
                <w:szCs w:val="24"/>
              </w:rPr>
              <w:t xml:space="preserve"> оформленного Заёмщиком заявления о предоставлении потребительского </w:t>
            </w:r>
            <w:r w:rsidR="006C2A96">
              <w:rPr>
                <w:rFonts w:eastAsia="Times New Roman"/>
                <w:color w:val="auto"/>
                <w:sz w:val="24"/>
                <w:szCs w:val="24"/>
              </w:rPr>
              <w:t>микро</w:t>
            </w:r>
            <w:r w:rsidR="000E72F7" w:rsidRPr="00442618">
              <w:rPr>
                <w:rFonts w:eastAsia="Times New Roman"/>
                <w:color w:val="auto"/>
                <w:sz w:val="24"/>
                <w:szCs w:val="24"/>
              </w:rPr>
              <w:t xml:space="preserve">займа и принятия Кредитором решения </w:t>
            </w:r>
            <w:r w:rsidR="000E72F7" w:rsidRPr="00442618">
              <w:rPr>
                <w:rFonts w:eastAsia="Times New Roman"/>
                <w:color w:val="auto"/>
                <w:sz w:val="24"/>
                <w:szCs w:val="24"/>
              </w:rPr>
              <w:lastRenderedPageBreak/>
              <w:t>относительно этого заявления.</w:t>
            </w:r>
          </w:p>
        </w:tc>
        <w:tc>
          <w:tcPr>
            <w:tcW w:w="7530" w:type="dxa"/>
          </w:tcPr>
          <w:p w14:paraId="5571A6F7" w14:textId="5B602634" w:rsidR="009B7E60" w:rsidRPr="00442618" w:rsidRDefault="000E72F7" w:rsidP="0093674A">
            <w:pPr>
              <w:ind w:firstLine="536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442618">
              <w:rPr>
                <w:color w:val="auto"/>
                <w:sz w:val="24"/>
                <w:szCs w:val="24"/>
              </w:rPr>
              <w:lastRenderedPageBreak/>
              <w:t xml:space="preserve">Решение о предварительном согласовании индивидуальных условий договора потребительского микрозайма (далее по тексту – «договор микрозайма») в размере и на условиях, указанных Заёмщиком в Заявлении или отказе в заключении с Заёмщиком договора микрозайма, принимается не позднее 3 (трех) рабочих дней с момента получения Кредитором такого Заявления. Предварительное </w:t>
            </w:r>
            <w:r w:rsidRPr="00442618">
              <w:rPr>
                <w:color w:val="auto"/>
                <w:sz w:val="24"/>
                <w:szCs w:val="24"/>
              </w:rPr>
              <w:lastRenderedPageBreak/>
              <w:t>согласование Индивидуальных условий не предусматривает проставление Сторонами подписей.</w:t>
            </w:r>
          </w:p>
        </w:tc>
      </w:tr>
      <w:tr w:rsidR="000D2846" w:rsidRPr="008409EB" w14:paraId="48C973DA" w14:textId="77777777" w:rsidTr="00914396">
        <w:tc>
          <w:tcPr>
            <w:tcW w:w="2677" w:type="dxa"/>
          </w:tcPr>
          <w:p w14:paraId="7BE8E5EE" w14:textId="5D2A584E" w:rsidR="009B7E60" w:rsidRPr="008409EB" w:rsidRDefault="006C2A96" w:rsidP="005C451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A7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235" w:rsidRPr="008409EB">
              <w:rPr>
                <w:rFonts w:ascii="Times New Roman" w:hAnsi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Заёмщика.</w:t>
            </w:r>
          </w:p>
        </w:tc>
        <w:tc>
          <w:tcPr>
            <w:tcW w:w="7530" w:type="dxa"/>
          </w:tcPr>
          <w:p w14:paraId="48E1B439" w14:textId="36B8E6C8" w:rsidR="008A5F06" w:rsidRPr="005C451E" w:rsidRDefault="00553235" w:rsidP="00553235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</w:t>
            </w:r>
            <w:r w:rsidR="008A5F0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ые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документ</w:t>
            </w:r>
            <w:r w:rsidR="008A5F0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ы:</w:t>
            </w:r>
          </w:p>
          <w:p w14:paraId="456F65C9" w14:textId="4EB58966" w:rsidR="00553235" w:rsidRDefault="00EB2F51" w:rsidP="00EB2F51">
            <w:pPr>
              <w:pStyle w:val="a6"/>
              <w:widowControl w:val="0"/>
              <w:spacing w:after="0" w:line="240" w:lineRule="auto"/>
              <w:ind w:left="35" w:firstLine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53235" w:rsidRPr="008409EB">
              <w:rPr>
                <w:rFonts w:ascii="Times New Roman" w:eastAsia="Times New Roman" w:hAnsi="Times New Roman"/>
                <w:sz w:val="24"/>
                <w:szCs w:val="24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553235"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A831138" w14:textId="70F4E1BE" w:rsidR="00EB2F51" w:rsidRPr="005C451E" w:rsidRDefault="00EB2F51" w:rsidP="005C451E">
            <w:pPr>
              <w:pStyle w:val="a6"/>
              <w:widowControl w:val="0"/>
              <w:spacing w:after="0" w:line="240" w:lineRule="auto"/>
              <w:ind w:left="34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1E">
              <w:rPr>
                <w:rFonts w:ascii="Times New Roman" w:hAnsi="Times New Roman"/>
                <w:sz w:val="24"/>
                <w:szCs w:val="24"/>
              </w:rPr>
              <w:t>- паспорт транспортного средства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E58555" w14:textId="7D8536D2" w:rsidR="00EB2F51" w:rsidRPr="00EB2F51" w:rsidRDefault="00EB2F51" w:rsidP="005C451E">
            <w:pPr>
              <w:pStyle w:val="a6"/>
              <w:widowControl w:val="0"/>
              <w:spacing w:after="0" w:line="240" w:lineRule="auto"/>
              <w:ind w:left="34" w:firstLine="2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51E">
              <w:rPr>
                <w:rFonts w:ascii="Times New Roman" w:hAnsi="Times New Roman"/>
                <w:sz w:val="24"/>
                <w:szCs w:val="24"/>
              </w:rPr>
              <w:t>- свидетельство о регистрации транспортного средства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A09D1F" w14:textId="2564E68C" w:rsidR="00553235" w:rsidRPr="008409EB" w:rsidRDefault="00EB2F51" w:rsidP="0055323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F5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Кредитор вправе запросить у Заёмщика дополнительные документы</w:t>
            </w:r>
            <w:r w:rsidR="00553235" w:rsidRPr="008409E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75B88493" w14:textId="4CEB3349" w:rsidR="00553235" w:rsidRPr="008409EB" w:rsidRDefault="00553235" w:rsidP="00553235">
            <w:pPr>
              <w:ind w:left="318"/>
              <w:jc w:val="both"/>
              <w:rPr>
                <w:color w:val="auto"/>
                <w:sz w:val="24"/>
                <w:szCs w:val="24"/>
              </w:rPr>
            </w:pPr>
            <w:r w:rsidRPr="008409EB">
              <w:rPr>
                <w:color w:val="auto"/>
                <w:sz w:val="24"/>
                <w:szCs w:val="24"/>
              </w:rPr>
              <w:t>- информационная выписка по банковскому счету;</w:t>
            </w:r>
          </w:p>
          <w:p w14:paraId="42C30532" w14:textId="77777777" w:rsidR="00553235" w:rsidRPr="008409EB" w:rsidRDefault="00553235" w:rsidP="00553235">
            <w:pPr>
              <w:pStyle w:val="a6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 xml:space="preserve">страховое свидетельство государственного пенсионного страхования;  </w:t>
            </w:r>
          </w:p>
          <w:p w14:paraId="4EAB2A80" w14:textId="77777777" w:rsidR="00553235" w:rsidRPr="008409EB" w:rsidRDefault="00553235" w:rsidP="00553235">
            <w:pPr>
              <w:pStyle w:val="a6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 xml:space="preserve">пенсионное удостоверение;  </w:t>
            </w:r>
          </w:p>
          <w:p w14:paraId="178A5A74" w14:textId="77777777" w:rsidR="00553235" w:rsidRPr="008409EB" w:rsidRDefault="00553235" w:rsidP="00553235">
            <w:pPr>
              <w:pStyle w:val="a6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 xml:space="preserve">водительское удостоверение;  </w:t>
            </w:r>
          </w:p>
          <w:p w14:paraId="31BCC179" w14:textId="77777777" w:rsidR="00553235" w:rsidRPr="008409EB" w:rsidRDefault="00553235" w:rsidP="00553235">
            <w:pPr>
              <w:pStyle w:val="a6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 xml:space="preserve">свидетельство о постановке на учет физического лица в налоговом органе; </w:t>
            </w:r>
          </w:p>
          <w:p w14:paraId="315714AD" w14:textId="77777777" w:rsidR="00553235" w:rsidRPr="008409EB" w:rsidRDefault="00553235" w:rsidP="00553235">
            <w:pPr>
              <w:pStyle w:val="a6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 xml:space="preserve">заграничный паспорт; </w:t>
            </w:r>
          </w:p>
          <w:p w14:paraId="74C102E4" w14:textId="77777777" w:rsidR="00553235" w:rsidRPr="008409EB" w:rsidRDefault="00553235" w:rsidP="007C6BA3">
            <w:pPr>
              <w:pStyle w:val="a6"/>
              <w:spacing w:after="0" w:line="240" w:lineRule="auto"/>
              <w:ind w:left="318" w:right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>военный билет;</w:t>
            </w:r>
          </w:p>
          <w:p w14:paraId="64F3D78F" w14:textId="2AED5031" w:rsidR="00EB2F51" w:rsidRDefault="00553235" w:rsidP="00442618">
            <w:pPr>
              <w:pStyle w:val="a6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ab/>
              <w:t>справк</w:t>
            </w:r>
            <w:r w:rsidR="00E55AC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 xml:space="preserve"> по форме – 2-НДФЛ.</w:t>
            </w:r>
            <w:r w:rsidR="00EB2F51" w:rsidRPr="00EB2F5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0C9CCFB" w14:textId="34F116C1" w:rsidR="009B7E60" w:rsidRPr="00EB2F51" w:rsidRDefault="00EB2F51" w:rsidP="00442618">
            <w:pPr>
              <w:pStyle w:val="a6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 xml:space="preserve">Непредставление Заёмщиком дополнительных документов может являться основанием для отказа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микроз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>айма.</w:t>
            </w:r>
          </w:p>
        </w:tc>
      </w:tr>
      <w:tr w:rsidR="00C2008F" w:rsidRPr="008409EB" w14:paraId="41D472FE" w14:textId="77777777" w:rsidTr="00914396">
        <w:tc>
          <w:tcPr>
            <w:tcW w:w="2677" w:type="dxa"/>
          </w:tcPr>
          <w:p w14:paraId="7B6B6E74" w14:textId="20777D08" w:rsidR="009B7E60" w:rsidRPr="002D1239" w:rsidRDefault="002D1239" w:rsidP="002D123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262746" w:rsidRPr="002D1239">
              <w:rPr>
                <w:rFonts w:ascii="Times New Roman" w:eastAsia="Times New Roman" w:hAnsi="Times New Roman"/>
                <w:sz w:val="24"/>
                <w:szCs w:val="24"/>
              </w:rPr>
              <w:t xml:space="preserve">Вид потребительского 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="00262746" w:rsidRPr="002D1239">
              <w:rPr>
                <w:rFonts w:ascii="Times New Roman" w:eastAsia="Times New Roman" w:hAnsi="Times New Roman"/>
                <w:sz w:val="24"/>
                <w:szCs w:val="24"/>
              </w:rPr>
              <w:t>займа</w:t>
            </w:r>
            <w:r w:rsidR="007F26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63795C3D" w14:textId="3081275E" w:rsidR="009B7E60" w:rsidRPr="008409EB" w:rsidRDefault="00262746" w:rsidP="0093674A">
            <w:pPr>
              <w:pStyle w:val="a6"/>
              <w:spacing w:after="0" w:line="240" w:lineRule="auto"/>
              <w:ind w:left="0" w:firstLine="5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Нецелевой потребительский микрозайм с обеспечением в виде залога автотранспортного средства.</w:t>
            </w:r>
          </w:p>
        </w:tc>
      </w:tr>
      <w:tr w:rsidR="00442618" w:rsidRPr="008409EB" w14:paraId="7B6E48AF" w14:textId="77777777" w:rsidTr="00914396">
        <w:tc>
          <w:tcPr>
            <w:tcW w:w="2677" w:type="dxa"/>
          </w:tcPr>
          <w:p w14:paraId="42C28ACF" w14:textId="57E4E563" w:rsidR="009B7E60" w:rsidRPr="008409EB" w:rsidRDefault="00262746" w:rsidP="008409E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5. Суммы потребительского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 xml:space="preserve"> микро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займа и сроки его возврата</w:t>
            </w:r>
            <w:r w:rsidR="002D12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6E74A57E" w14:textId="3B00A7C9" w:rsidR="009B7E60" w:rsidRPr="008409EB" w:rsidRDefault="00262746" w:rsidP="0093674A">
            <w:pPr>
              <w:pStyle w:val="a6"/>
              <w:spacing w:after="0" w:line="240" w:lineRule="auto"/>
              <w:ind w:left="0" w:firstLine="536"/>
              <w:rPr>
                <w:rFonts w:ascii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E55AC2">
              <w:rPr>
                <w:rFonts w:ascii="Times New Roman" w:hAnsi="Times New Roman"/>
                <w:sz w:val="24"/>
                <w:szCs w:val="24"/>
              </w:rPr>
              <w:t>микро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>займа от 100 000 до 500 000 рублей.</w:t>
            </w:r>
          </w:p>
          <w:p w14:paraId="3C53F1C1" w14:textId="7FB62358" w:rsidR="00262746" w:rsidRPr="008409EB" w:rsidRDefault="00262746" w:rsidP="0093674A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226335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226335" w:rsidRPr="0084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 xml:space="preserve">микрозайма от </w:t>
            </w:r>
            <w:r w:rsidR="004C4258">
              <w:rPr>
                <w:rFonts w:ascii="Times New Roman" w:hAnsi="Times New Roman"/>
                <w:sz w:val="24"/>
                <w:szCs w:val="24"/>
              </w:rPr>
              <w:t>12</w:t>
            </w:r>
            <w:r w:rsidR="00F026C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C4258">
              <w:rPr>
                <w:rFonts w:ascii="Times New Roman" w:hAnsi="Times New Roman"/>
                <w:sz w:val="24"/>
                <w:szCs w:val="24"/>
              </w:rPr>
              <w:t>60</w:t>
            </w:r>
            <w:r w:rsidR="00F026C9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Pr="008409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2618" w:rsidRPr="008409EB" w14:paraId="11EBB186" w14:textId="77777777" w:rsidTr="00914396">
        <w:tc>
          <w:tcPr>
            <w:tcW w:w="2677" w:type="dxa"/>
          </w:tcPr>
          <w:p w14:paraId="484032C0" w14:textId="6DC555FA" w:rsidR="009B7E60" w:rsidRPr="008409EB" w:rsidRDefault="00262746" w:rsidP="008409E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6. Валют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, в которой предоставляется потребительский 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0A7662" w:rsidRPr="008409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61E7BA87" w14:textId="6B88B28E" w:rsidR="009B7E60" w:rsidRPr="008409EB" w:rsidRDefault="000A7662" w:rsidP="0093674A">
            <w:pPr>
              <w:pStyle w:val="a6"/>
              <w:spacing w:after="0" w:line="240" w:lineRule="auto"/>
              <w:ind w:left="0" w:firstLine="5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Рубль Российской Федерации.</w:t>
            </w:r>
          </w:p>
        </w:tc>
      </w:tr>
      <w:tr w:rsidR="008409EB" w:rsidRPr="008409EB" w14:paraId="14DEC79F" w14:textId="77777777" w:rsidTr="00914396">
        <w:tc>
          <w:tcPr>
            <w:tcW w:w="2677" w:type="dxa"/>
          </w:tcPr>
          <w:p w14:paraId="2101859B" w14:textId="11BE41A3" w:rsidR="008409EB" w:rsidRPr="008409EB" w:rsidRDefault="008409EB" w:rsidP="002D123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7. Способы предоставления потребительского </w:t>
            </w:r>
            <w:r w:rsidR="00E55AC2"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займа, в том числе с использованием Заёмщиком электронных средств платежа.</w:t>
            </w:r>
          </w:p>
        </w:tc>
        <w:tc>
          <w:tcPr>
            <w:tcW w:w="7530" w:type="dxa"/>
          </w:tcPr>
          <w:p w14:paraId="3BDA2EB1" w14:textId="77777777" w:rsidR="002D57CF" w:rsidRDefault="008409EB" w:rsidP="0093674A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Микрозайм предоставляется путем</w:t>
            </w:r>
            <w:r w:rsidR="002D57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A3A1DAE" w14:textId="77777777" w:rsidR="002D57CF" w:rsidRDefault="002D57CF" w:rsidP="0093674A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409EB"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безналичного перечисления денежных средств на предоплаченную банковскую карту, предоставленную Кредитором Заемщику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26F5A0F" w14:textId="17E39858" w:rsidR="008409EB" w:rsidRPr="005B0637" w:rsidRDefault="002D57CF" w:rsidP="0093674A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637">
              <w:rPr>
                <w:rFonts w:ascii="Times New Roman" w:hAnsi="Times New Roman"/>
                <w:color w:val="000000"/>
                <w:sz w:val="24"/>
                <w:szCs w:val="24"/>
              </w:rPr>
              <w:t>- безналичного перечисления денежных средств на расчетный счет (банковскую карту) Заемщика</w:t>
            </w:r>
            <w:r w:rsidR="008409EB" w:rsidRPr="005B06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E781C" w:rsidRPr="00E8532A" w14:paraId="36C710D9" w14:textId="77777777" w:rsidTr="00914396">
        <w:tc>
          <w:tcPr>
            <w:tcW w:w="2677" w:type="dxa"/>
          </w:tcPr>
          <w:p w14:paraId="200E55FC" w14:textId="653B2D88" w:rsidR="009E781C" w:rsidRPr="00E8532A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32A">
              <w:rPr>
                <w:rFonts w:ascii="Times New Roman" w:eastAsia="Times New Roman" w:hAnsi="Times New Roman"/>
                <w:sz w:val="24"/>
                <w:szCs w:val="24"/>
              </w:rPr>
              <w:t>8. Правила Акции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10576F7" w14:textId="77777777" w:rsidR="009E781C" w:rsidRPr="00E8532A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B1DA71" w14:textId="77777777" w:rsidR="009E781C" w:rsidRPr="00E8532A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15EC6E" w14:textId="77777777" w:rsidR="009E781C" w:rsidRPr="00E8532A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3E055F" w14:textId="25CD1CC2" w:rsidR="009E781C" w:rsidRPr="00E8532A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5760C735" w14:textId="609625DB" w:rsidR="00F51331" w:rsidRPr="00CF128A" w:rsidRDefault="00CF128A" w:rsidP="006F7671">
            <w:pPr>
              <w:pStyle w:val="a6"/>
              <w:spacing w:after="0" w:line="240" w:lineRule="auto"/>
              <w:ind w:left="0" w:firstLine="5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действует для новых и повторных </w:t>
            </w:r>
            <w:r w:rsidR="00E96D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F128A">
              <w:rPr>
                <w:rFonts w:ascii="Times New Roman" w:hAnsi="Times New Roman"/>
                <w:color w:val="000000"/>
                <w:sz w:val="24"/>
                <w:szCs w:val="24"/>
              </w:rPr>
              <w:t>лиентов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A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781C" w:rsidRPr="008409EB" w14:paraId="61F755EE" w14:textId="77777777" w:rsidTr="00914396">
        <w:tc>
          <w:tcPr>
            <w:tcW w:w="2677" w:type="dxa"/>
          </w:tcPr>
          <w:p w14:paraId="0779D309" w14:textId="4201E500" w:rsidR="009E781C" w:rsidRPr="008409EB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Процентные ставки в процентах годовых по программе</w:t>
            </w:r>
            <w:r w:rsidR="00C24AE6">
              <w:rPr>
                <w:rFonts w:ascii="Times New Roman" w:eastAsia="Times New Roman" w:hAnsi="Times New Roman"/>
                <w:sz w:val="24"/>
                <w:szCs w:val="24"/>
              </w:rPr>
              <w:t xml:space="preserve"> микрокредитования в рамках</w:t>
            </w:r>
            <w:r w:rsidRPr="00840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Акции.</w:t>
            </w:r>
          </w:p>
          <w:p w14:paraId="08F4A2A2" w14:textId="77777777" w:rsidR="009E781C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5F41D7" w14:textId="01DCA6B8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tbl>
            <w:tblPr>
              <w:tblW w:w="7604" w:type="dxa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2667"/>
              <w:gridCol w:w="2246"/>
              <w:gridCol w:w="236"/>
            </w:tblGrid>
            <w:tr w:rsidR="009E781C" w:rsidRPr="00A77D72" w14:paraId="197E21B9" w14:textId="77777777" w:rsidTr="00DB61F8">
              <w:trPr>
                <w:gridAfter w:val="1"/>
                <w:wAfter w:w="236" w:type="dxa"/>
                <w:trHeight w:val="433"/>
              </w:trPr>
              <w:tc>
                <w:tcPr>
                  <w:tcW w:w="2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2C4B" w14:textId="77777777" w:rsidR="009E781C" w:rsidRPr="00A77D72" w:rsidRDefault="009E781C" w:rsidP="009E781C">
                  <w:pPr>
                    <w:spacing w:after="0" w:line="240" w:lineRule="auto"/>
                    <w:ind w:left="-66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A77D7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Наименование финансового продукта</w:t>
                  </w:r>
                </w:p>
              </w:tc>
              <w:tc>
                <w:tcPr>
                  <w:tcW w:w="2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1590" w14:textId="77777777" w:rsidR="009E781C" w:rsidRPr="00A77D72" w:rsidRDefault="009E781C" w:rsidP="009E781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A77D7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Срок предоставления</w:t>
                  </w:r>
                </w:p>
              </w:tc>
              <w:tc>
                <w:tcPr>
                  <w:tcW w:w="2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EE066" w14:textId="77777777" w:rsidR="009E781C" w:rsidRPr="00A77D72" w:rsidRDefault="009E781C" w:rsidP="009E781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A77D7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Ставка в % годовых</w:t>
                  </w:r>
                </w:p>
              </w:tc>
            </w:tr>
            <w:tr w:rsidR="009E781C" w:rsidRPr="00A77D72" w14:paraId="001B121C" w14:textId="77777777" w:rsidTr="00DB61F8">
              <w:trPr>
                <w:trHeight w:val="630"/>
              </w:trPr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080D7" w14:textId="77777777" w:rsidR="009E781C" w:rsidRPr="00A77D72" w:rsidRDefault="009E781C" w:rsidP="009E781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B6849" w14:textId="77777777" w:rsidR="009E781C" w:rsidRPr="00A77D72" w:rsidRDefault="009E781C" w:rsidP="009E781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C8A7D" w14:textId="77777777" w:rsidR="009E781C" w:rsidRPr="00A77D72" w:rsidRDefault="009E781C" w:rsidP="009E781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3F498" w14:textId="77777777" w:rsidR="009E781C" w:rsidRPr="00A77D72" w:rsidRDefault="009E781C" w:rsidP="009E781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781C" w:rsidRPr="00A77D72" w14:paraId="3581C01D" w14:textId="77777777" w:rsidTr="004C6EB6">
              <w:trPr>
                <w:trHeight w:val="300"/>
              </w:trPr>
              <w:tc>
                <w:tcPr>
                  <w:tcW w:w="2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9927A10" w14:textId="44B7C5C1" w:rsidR="009E781C" w:rsidRPr="004C6EB6" w:rsidRDefault="00C8746B" w:rsidP="009E781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C6EB6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Летняя. Легкая.</w:t>
                  </w:r>
                  <w:r w:rsidR="004C6EB6" w:rsidRPr="004C6EB6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6EB6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Твоя - 3% в месяц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19300" w14:textId="6D6D6488" w:rsidR="009E781C" w:rsidRPr="00A77D72" w:rsidRDefault="00F51331" w:rsidP="009E781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от</w:t>
                  </w:r>
                  <w:r w:rsidR="009E781C" w:rsidRPr="00A77D7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 до 60 месяцев</w:t>
                  </w:r>
                  <w:r w:rsidR="009E781C" w:rsidRPr="00A77D7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15167" w14:textId="42E72000" w:rsidR="009E781C" w:rsidRPr="00A77D72" w:rsidRDefault="00F51331" w:rsidP="009E781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B19A86" w14:textId="77777777" w:rsidR="009E781C" w:rsidRPr="00A77D72" w:rsidRDefault="009E781C" w:rsidP="009E781C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86DA8F3" w14:textId="72B46B48" w:rsidR="009E781C" w:rsidRPr="008409EB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8409EB" w14:paraId="054367FA" w14:textId="77777777" w:rsidTr="00914396">
        <w:tc>
          <w:tcPr>
            <w:tcW w:w="2677" w:type="dxa"/>
          </w:tcPr>
          <w:p w14:paraId="5A5BE9CA" w14:textId="74821A58" w:rsidR="009E781C" w:rsidRPr="008409EB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Условия участия в Акции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6E13F68F" w14:textId="38088CC8" w:rsidR="009E781C" w:rsidRPr="009E781C" w:rsidRDefault="009E781C" w:rsidP="009E781C">
            <w:pPr>
              <w:ind w:firstLine="567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Для того чтобы стать Участником Акции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и получить </w:t>
            </w:r>
            <w:r w:rsidR="007F75C4">
              <w:rPr>
                <w:rFonts w:eastAsia="Times New Roman"/>
                <w:bCs/>
                <w:color w:val="auto"/>
                <w:sz w:val="24"/>
                <w:szCs w:val="24"/>
              </w:rPr>
              <w:t>микрозайм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</w:t>
            </w:r>
            <w:r w:rsidR="007F75C4">
              <w:rPr>
                <w:rFonts w:eastAsia="Times New Roman"/>
                <w:bCs/>
                <w:color w:val="auto"/>
                <w:sz w:val="24"/>
                <w:szCs w:val="24"/>
              </w:rPr>
              <w:t>под 36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% </w:t>
            </w:r>
            <w:r w:rsidR="007F75C4">
              <w:rPr>
                <w:rFonts w:eastAsia="Times New Roman"/>
                <w:bCs/>
                <w:color w:val="auto"/>
                <w:sz w:val="24"/>
                <w:szCs w:val="24"/>
              </w:rPr>
              <w:t>годовых</w:t>
            </w:r>
            <w:r w:rsidR="00C00948">
              <w:rPr>
                <w:rFonts w:eastAsia="Times New Roman"/>
                <w:bCs/>
                <w:color w:val="auto"/>
                <w:sz w:val="24"/>
                <w:szCs w:val="24"/>
              </w:rPr>
              <w:t>,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лицу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>, соответствующему требованиям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перечисленным в п.2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</w:t>
            </w:r>
            <w:r w:rsidR="00C00948">
              <w:rPr>
                <w:rFonts w:eastAsia="Times New Roman"/>
                <w:bCs/>
                <w:color w:val="auto"/>
                <w:sz w:val="24"/>
                <w:szCs w:val="24"/>
              </w:rPr>
              <w:t>Информации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>, необходимо выполнить следующие действия:</w:t>
            </w:r>
          </w:p>
          <w:p w14:paraId="38D39D83" w14:textId="6B37C9DA" w:rsidR="009E781C" w:rsidRDefault="009E781C" w:rsidP="00C00948">
            <w:pPr>
              <w:ind w:firstLine="567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>В период действия Акции с «</w:t>
            </w:r>
            <w:r w:rsidR="00F51331">
              <w:rPr>
                <w:rFonts w:eastAsia="Times New Roman"/>
                <w:bCs/>
                <w:color w:val="auto"/>
                <w:sz w:val="24"/>
                <w:szCs w:val="24"/>
              </w:rPr>
              <w:t>24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» </w:t>
            </w:r>
            <w:r w:rsidR="00F51331">
              <w:rPr>
                <w:rFonts w:eastAsia="Times New Roman"/>
                <w:bCs/>
                <w:color w:val="auto"/>
                <w:sz w:val="24"/>
                <w:szCs w:val="24"/>
              </w:rPr>
              <w:t>апреля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202</w:t>
            </w:r>
            <w:r w:rsidR="00F51331">
              <w:rPr>
                <w:rFonts w:eastAsia="Times New Roman"/>
                <w:bCs/>
                <w:color w:val="auto"/>
                <w:sz w:val="24"/>
                <w:szCs w:val="24"/>
              </w:rPr>
              <w:t>3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года по «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31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» </w:t>
            </w:r>
            <w:r w:rsidR="00F51331">
              <w:rPr>
                <w:rFonts w:eastAsia="Times New Roman"/>
                <w:bCs/>
                <w:color w:val="auto"/>
                <w:sz w:val="24"/>
                <w:szCs w:val="24"/>
              </w:rPr>
              <w:t>мая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202</w:t>
            </w:r>
            <w:r w:rsidR="0055419C">
              <w:rPr>
                <w:rFonts w:eastAsia="Times New Roman"/>
                <w:bCs/>
                <w:color w:val="auto"/>
                <w:sz w:val="24"/>
                <w:szCs w:val="24"/>
              </w:rPr>
              <w:t>3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года (включительно) заключить с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Организатором</w:t>
            </w:r>
            <w:r w:rsidRP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Акции договор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потребительского микрозайма</w:t>
            </w:r>
            <w:r w:rsidR="00C00948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на условиях перечисленных в п. 8.1. Информации</w:t>
            </w:r>
            <w:r w:rsidR="00C24AE6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и соблюдать условия Акции.</w:t>
            </w:r>
          </w:p>
          <w:p w14:paraId="38ACD799" w14:textId="77777777" w:rsidR="00C00948" w:rsidRDefault="00C00948" w:rsidP="00C00948">
            <w:pPr>
              <w:keepNext/>
              <w:keepLines/>
              <w:numPr>
                <w:ilvl w:val="1"/>
                <w:numId w:val="0"/>
              </w:numPr>
              <w:ind w:firstLine="616"/>
              <w:jc w:val="both"/>
              <w:outlineLvl w:val="1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0355B1">
              <w:rPr>
                <w:rFonts w:eastAsia="Times New Roman"/>
                <w:bCs/>
                <w:color w:val="auto"/>
                <w:sz w:val="24"/>
                <w:szCs w:val="24"/>
              </w:rPr>
              <w:t>Участие в Акции не является обязательным.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1324C918" w14:textId="11589D67" w:rsidR="00C00948" w:rsidRPr="009E781C" w:rsidRDefault="00C00948" w:rsidP="00C00948">
            <w:pPr>
              <w:keepNext/>
              <w:keepLines/>
              <w:numPr>
                <w:ilvl w:val="1"/>
                <w:numId w:val="0"/>
              </w:numPr>
              <w:ind w:firstLine="616"/>
              <w:jc w:val="both"/>
              <w:outlineLvl w:val="1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C00948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Факт участия в Акции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Заемщика</w:t>
            </w:r>
            <w:r w:rsidRPr="00C00948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означает полное согласие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Заемщика</w:t>
            </w:r>
            <w:r w:rsidRPr="00C00948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Правилами Акции.</w:t>
            </w:r>
          </w:p>
        </w:tc>
      </w:tr>
      <w:tr w:rsidR="009E781C" w:rsidRPr="008409EB" w14:paraId="5B25D641" w14:textId="77777777" w:rsidTr="00914396">
        <w:tc>
          <w:tcPr>
            <w:tcW w:w="2677" w:type="dxa"/>
          </w:tcPr>
          <w:p w14:paraId="78899CA0" w14:textId="3C836408" w:rsidR="009E781C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Дата предоставления потребительского микрозайма.</w:t>
            </w:r>
          </w:p>
          <w:p w14:paraId="14491CC9" w14:textId="1DE3B7E1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9C20E7" w14:textId="77777777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564C8A" w14:textId="77777777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444B38" w14:textId="77777777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EA16CD" w14:textId="30C33E93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60D35A03" w14:textId="146A0872" w:rsidR="009E781C" w:rsidRPr="00185B57" w:rsidRDefault="009E781C" w:rsidP="009E781C">
            <w:pPr>
              <w:ind w:left="73" w:firstLine="40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5B5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Датой предоставления потребительского микрозайма, в зависимости от способа получения микрозайма, выбранного Заемщиком, считается следующая дата: </w:t>
            </w:r>
          </w:p>
          <w:p w14:paraId="273105D3" w14:textId="3348D802" w:rsidR="009E781C" w:rsidRPr="00B46AAB" w:rsidRDefault="009E781C" w:rsidP="004C6EB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предоставлении потребительского микрозайма посредством безналичного перечисления денежных средств </w:t>
            </w:r>
            <w:r w:rsidR="00086E35" w:rsidRPr="00B46AAB">
              <w:rPr>
                <w:rFonts w:ascii="Times New Roman" w:hAnsi="Times New Roman"/>
                <w:color w:val="000000"/>
                <w:sz w:val="24"/>
                <w:szCs w:val="24"/>
              </w:rPr>
              <w:t>на предоплаченную банковскую карту,</w:t>
            </w:r>
            <w:r w:rsidRPr="00B4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предоставленную Кредитором Заемщику - 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зачисления</w:t>
            </w:r>
            <w:r w:rsidRPr="00B4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предоплаченную карту</w:t>
            </w:r>
            <w:r w:rsidRPr="00B4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4979A7C4" w14:textId="1EB9363D" w:rsidR="009E781C" w:rsidRPr="00185B57" w:rsidRDefault="009E781C" w:rsidP="004C6EB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8" w:hanging="283"/>
              <w:jc w:val="both"/>
              <w:rPr>
                <w:color w:val="000000"/>
                <w:sz w:val="24"/>
                <w:szCs w:val="24"/>
              </w:rPr>
            </w:pPr>
            <w:r w:rsidRPr="00185B57">
              <w:rPr>
                <w:rFonts w:ascii="Times New Roman" w:hAnsi="Times New Roman"/>
                <w:color w:val="000000"/>
                <w:sz w:val="24"/>
                <w:szCs w:val="24"/>
              </w:rPr>
              <w:t>при предоставлении потребительского микрозайма посредством безналичного перечисления денежных средств на расчетный счет (банковскую карту) Заемщика - дата списания денежных средств с расчетного счета Кредитора.</w:t>
            </w:r>
          </w:p>
        </w:tc>
      </w:tr>
      <w:tr w:rsidR="009E781C" w:rsidRPr="00B0122A" w14:paraId="7BDA142F" w14:textId="77777777" w:rsidTr="00914396">
        <w:tc>
          <w:tcPr>
            <w:tcW w:w="2677" w:type="dxa"/>
          </w:tcPr>
          <w:p w14:paraId="48A55D32" w14:textId="31921390" w:rsidR="009E781C" w:rsidRPr="00C6446E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220E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Формула для расчета процентов за пользование потребительским микрозаймом.</w:t>
            </w:r>
          </w:p>
        </w:tc>
        <w:tc>
          <w:tcPr>
            <w:tcW w:w="7530" w:type="dxa"/>
          </w:tcPr>
          <w:p w14:paraId="3D576D77" w14:textId="36B7A94C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Размер процентов за пользование микрозаймом рассчитываются по формуле</w:t>
            </w:r>
            <w:r w:rsidRPr="00433EB0">
              <w:rPr>
                <w:rFonts w:eastAsia="Times New Roman"/>
                <w:bCs/>
                <w:color w:val="auto"/>
                <w:sz w:val="24"/>
                <w:szCs w:val="24"/>
              </w:rPr>
              <w:t>:</w:t>
            </w:r>
          </w:p>
          <w:p w14:paraId="5E0F4436" w14:textId="77777777" w:rsidR="009E781C" w:rsidRDefault="009E781C" w:rsidP="009E781C">
            <w:pPr>
              <w:widowControl w:val="0"/>
              <w:tabs>
                <w:tab w:val="left" w:pos="1279"/>
              </w:tabs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ab/>
            </w:r>
          </w:p>
          <w:p w14:paraId="0AB8A2D6" w14:textId="77777777" w:rsidR="009E781C" w:rsidRDefault="006952D7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bCs/>
                      <w:i/>
                      <w:color w:val="auto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</w:rPr>
                    <m:t>проц.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</w:rPr>
                    <m:t>=ОД*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color w:val="auto"/>
                          <w:sz w:val="28"/>
                          <w:szCs w:val="28"/>
                        </w:rPr>
                        <m:t>365</m:t>
                      </m:r>
                    </m:den>
                  </m:f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</w:rPr>
                    <m:t xml:space="preserve"> ; </m:t>
                  </m:r>
                </m:e>
              </m:nary>
            </m:oMath>
            <w:r w:rsidR="009E781C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   где</w:t>
            </w:r>
            <w:r w:rsidR="009E781C" w:rsidRPr="00433EB0">
              <w:rPr>
                <w:rFonts w:eastAsia="Times New Roman"/>
                <w:bCs/>
                <w:color w:val="auto"/>
                <w:sz w:val="24"/>
                <w:szCs w:val="24"/>
              </w:rPr>
              <w:t>:</w:t>
            </w:r>
          </w:p>
          <w:p w14:paraId="684BAFB3" w14:textId="77777777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  <w:p w14:paraId="3AA05C91" w14:textId="6BB39867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433EB0">
              <w:rPr>
                <w:rFonts w:eastAsia="Times New Roman"/>
                <w:bCs/>
                <w:color w:val="auto"/>
                <w:sz w:val="24"/>
                <w:szCs w:val="24"/>
              </w:rPr>
              <w:t>∑</w:t>
            </w:r>
            <w:r w:rsidRPr="00433EB0">
              <w:rPr>
                <w:rFonts w:eastAsia="Times New Roman"/>
                <w:bCs/>
                <w:color w:val="auto"/>
                <w:sz w:val="32"/>
                <w:szCs w:val="32"/>
                <w:vertAlign w:val="subscript"/>
              </w:rPr>
              <w:t>проц.</w:t>
            </w:r>
            <w:r w:rsidRPr="00433EB0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ежемесячная сумма процентов подлежащих уплате в соответствии с графиком платежей;</w:t>
            </w:r>
          </w:p>
          <w:p w14:paraId="350BE7CA" w14:textId="45D42D95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ОД – остаточная сумма основного долга;</w:t>
            </w:r>
          </w:p>
          <w:p w14:paraId="24C8044E" w14:textId="77777777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proofErr w:type="spellStart"/>
            <w:r w:rsidRPr="00433EB0">
              <w:rPr>
                <w:rFonts w:eastAsia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– процентная ставка, предусмотренная индивидуальными условиями договора </w:t>
            </w:r>
            <w:r w:rsidRPr="00F538A7">
              <w:rPr>
                <w:rFonts w:eastAsia="Times New Roman"/>
                <w:bCs/>
                <w:color w:val="auto"/>
                <w:sz w:val="24"/>
                <w:szCs w:val="24"/>
              </w:rPr>
              <w:t>микрофинансирования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;</w:t>
            </w:r>
          </w:p>
          <w:p w14:paraId="2859E899" w14:textId="334C5064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433EB0">
              <w:rPr>
                <w:rFonts w:eastAsia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>n</w:t>
            </w:r>
            <w:r w:rsidRPr="00433EB0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Cs/>
                <w:color w:val="auto"/>
                <w:sz w:val="24"/>
                <w:szCs w:val="24"/>
              </w:rPr>
              <w:t>количество дней между траншами (рассчитывается начиная со дня следующего за очередным траншем по дату следующего транша включительно).</w:t>
            </w:r>
          </w:p>
          <w:p w14:paraId="0AF5340A" w14:textId="77777777" w:rsidR="009E781C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</w:tr>
      <w:tr w:rsidR="009E781C" w:rsidRPr="00B0122A" w14:paraId="27E487EB" w14:textId="77777777" w:rsidTr="00914396">
        <w:tc>
          <w:tcPr>
            <w:tcW w:w="2677" w:type="dxa"/>
          </w:tcPr>
          <w:p w14:paraId="3546228F" w14:textId="77777777" w:rsidR="009E781C" w:rsidRPr="00B0122A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22A">
              <w:rPr>
                <w:rFonts w:ascii="Times New Roman" w:eastAsia="Times New Roman" w:hAnsi="Times New Roman"/>
                <w:sz w:val="24"/>
                <w:szCs w:val="24"/>
              </w:rPr>
              <w:t xml:space="preserve">9. Виды и суммы иных платежей Заёмщика по договору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B0122A">
              <w:rPr>
                <w:rFonts w:ascii="Times New Roman" w:eastAsia="Times New Roman" w:hAnsi="Times New Roman"/>
                <w:sz w:val="24"/>
                <w:szCs w:val="24"/>
              </w:rPr>
              <w:t>займа.</w:t>
            </w:r>
          </w:p>
        </w:tc>
        <w:tc>
          <w:tcPr>
            <w:tcW w:w="7530" w:type="dxa"/>
          </w:tcPr>
          <w:p w14:paraId="5EA8A648" w14:textId="77777777" w:rsidR="009E781C" w:rsidRPr="00B0122A" w:rsidRDefault="009E781C" w:rsidP="009E781C">
            <w:pPr>
              <w:widowControl w:val="0"/>
              <w:ind w:firstLine="616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0122A">
              <w:rPr>
                <w:rFonts w:eastAsia="Times New Roman"/>
                <w:bCs/>
                <w:color w:val="auto"/>
                <w:sz w:val="24"/>
                <w:szCs w:val="24"/>
              </w:rPr>
              <w:t>Отсутствуют</w:t>
            </w:r>
          </w:p>
          <w:p w14:paraId="07000C4D" w14:textId="77777777" w:rsidR="009E781C" w:rsidRPr="00B0122A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6F5039" w14:paraId="2B88F0EB" w14:textId="77777777" w:rsidTr="00914396">
        <w:tc>
          <w:tcPr>
            <w:tcW w:w="2677" w:type="dxa"/>
          </w:tcPr>
          <w:p w14:paraId="731C623D" w14:textId="4F55CD9A" w:rsidR="009E781C" w:rsidRPr="006F5039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39">
              <w:rPr>
                <w:rFonts w:ascii="Times New Roman" w:eastAsia="Times New Roman" w:hAnsi="Times New Roman"/>
                <w:sz w:val="24"/>
                <w:szCs w:val="24"/>
              </w:rPr>
              <w:t>10. Диапазоны значений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ПСК</w:t>
            </w:r>
            <w:r w:rsidRPr="006F503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F5039">
              <w:rPr>
                <w:rFonts w:ascii="Times New Roman" w:eastAsia="Times New Roman" w:hAnsi="Times New Roman"/>
                <w:sz w:val="24"/>
                <w:szCs w:val="24"/>
              </w:rPr>
              <w:t>пределенных с учетом требований ФЗ №353-ФЗ по видам потребительского микрозайма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3BD8A67E" w14:textId="77777777" w:rsidR="005E6D11" w:rsidRDefault="005E6D11" w:rsidP="009E781C">
            <w:pPr>
              <w:pStyle w:val="a6"/>
              <w:spacing w:after="0" w:line="240" w:lineRule="auto"/>
              <w:ind w:left="0" w:firstLine="61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57965D" w14:textId="7A2DB2FF" w:rsidR="005E6D11" w:rsidRDefault="009E781C" w:rsidP="005E6D1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ACB">
              <w:rPr>
                <w:rFonts w:ascii="Times New Roman" w:eastAsia="Times New Roman" w:hAnsi="Times New Roman"/>
                <w:sz w:val="24"/>
                <w:szCs w:val="24"/>
              </w:rPr>
              <w:t xml:space="preserve">При соблюдении </w:t>
            </w:r>
            <w:r w:rsidR="005E6D11">
              <w:rPr>
                <w:rFonts w:ascii="Times New Roman" w:eastAsia="Times New Roman" w:hAnsi="Times New Roman"/>
                <w:sz w:val="24"/>
                <w:szCs w:val="24"/>
              </w:rPr>
              <w:t>правил Акции</w:t>
            </w:r>
            <w:r w:rsidRPr="00185B57">
              <w:rPr>
                <w:rFonts w:ascii="Times New Roman" w:eastAsia="Times New Roman" w:hAnsi="Times New Roman"/>
                <w:sz w:val="24"/>
                <w:szCs w:val="24"/>
              </w:rPr>
              <w:t>, предусмотренных п.8.</w:t>
            </w:r>
            <w:r w:rsidR="005E6D11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</w:t>
            </w:r>
            <w:r w:rsidRPr="00185B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894F1EE" w14:textId="3A7D735C" w:rsidR="009E781C" w:rsidRDefault="009E781C" w:rsidP="009E781C">
            <w:pPr>
              <w:pStyle w:val="a6"/>
              <w:spacing w:after="0" w:line="240" w:lineRule="auto"/>
              <w:ind w:left="0" w:firstLine="61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11"/>
              <w:tblpPr w:leftFromText="181" w:rightFromText="181" w:vertAnchor="text" w:horzAnchor="margin" w:tblpY="-15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3990"/>
            </w:tblGrid>
            <w:tr w:rsidR="009E781C" w:rsidRPr="00B553F7" w14:paraId="6574E0AF" w14:textId="77777777" w:rsidTr="00C319CE">
              <w:trPr>
                <w:trHeight w:val="679"/>
              </w:trPr>
              <w:tc>
                <w:tcPr>
                  <w:tcW w:w="3376" w:type="dxa"/>
                  <w:vAlign w:val="center"/>
                </w:tcPr>
                <w:p w14:paraId="5D42D917" w14:textId="77777777" w:rsidR="009E781C" w:rsidRDefault="009E781C" w:rsidP="009E78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предоставления потребительского микрозайма</w:t>
                  </w:r>
                </w:p>
                <w:p w14:paraId="688F2F34" w14:textId="77777777" w:rsidR="009E781C" w:rsidRPr="00B553F7" w:rsidRDefault="009E781C" w:rsidP="009E78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0" w:type="dxa"/>
                  <w:vAlign w:val="center"/>
                </w:tcPr>
                <w:p w14:paraId="5812D4A7" w14:textId="77777777" w:rsidR="009E781C" w:rsidRPr="00B553F7" w:rsidRDefault="009E781C" w:rsidP="009E781C">
                  <w:pPr>
                    <w:ind w:left="709" w:hanging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ПСК (% годовых)</w:t>
                  </w:r>
                </w:p>
              </w:tc>
            </w:tr>
            <w:tr w:rsidR="009E781C" w:rsidRPr="00B553F7" w14:paraId="6AED47CC" w14:textId="77777777" w:rsidTr="00C319CE">
              <w:trPr>
                <w:trHeight w:val="412"/>
              </w:trPr>
              <w:tc>
                <w:tcPr>
                  <w:tcW w:w="3376" w:type="dxa"/>
                  <w:vAlign w:val="center"/>
                </w:tcPr>
                <w:p w14:paraId="4FDC877E" w14:textId="0FAA45E5" w:rsidR="009E781C" w:rsidRPr="00B553F7" w:rsidRDefault="00220EBD" w:rsidP="009E781C">
                  <w:pPr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12</w:t>
                  </w:r>
                  <w:r w:rsidR="009E781C" w:rsidRPr="00B55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60 месяцев</w:t>
                  </w:r>
                </w:p>
              </w:tc>
              <w:tc>
                <w:tcPr>
                  <w:tcW w:w="3990" w:type="dxa"/>
                  <w:vAlign w:val="center"/>
                </w:tcPr>
                <w:p w14:paraId="5A46D885" w14:textId="76F5B4CA" w:rsidR="009E781C" w:rsidRPr="00B553F7" w:rsidRDefault="009E781C" w:rsidP="009E781C">
                  <w:pPr>
                    <w:ind w:left="709" w:hanging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220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r w:rsidR="00220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</w:tbl>
          <w:p w14:paraId="22F1A663" w14:textId="47FCDB2E" w:rsidR="009E781C" w:rsidRPr="006F5039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D93AE5" w14:paraId="3EE184E7" w14:textId="77777777" w:rsidTr="00914396">
        <w:tc>
          <w:tcPr>
            <w:tcW w:w="2677" w:type="dxa"/>
          </w:tcPr>
          <w:p w14:paraId="3A191DCE" w14:textId="66CBA2A1" w:rsidR="009E781C" w:rsidRPr="00D93AE5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t xml:space="preserve">11. Периодичность платежей Заёмщика </w:t>
            </w: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возврате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t>займа.</w:t>
            </w:r>
          </w:p>
        </w:tc>
        <w:tc>
          <w:tcPr>
            <w:tcW w:w="7530" w:type="dxa"/>
          </w:tcPr>
          <w:p w14:paraId="709929B2" w14:textId="4EFA24AD" w:rsidR="009E781C" w:rsidRPr="00BD3ACD" w:rsidRDefault="009E781C" w:rsidP="009E781C">
            <w:pPr>
              <w:pStyle w:val="a6"/>
              <w:spacing w:after="0" w:line="240" w:lineRule="auto"/>
              <w:ind w:left="0" w:firstLine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Ежемесячно, в соответствии с графиком платежей.</w:t>
            </w:r>
          </w:p>
        </w:tc>
      </w:tr>
      <w:tr w:rsidR="009E781C" w:rsidRPr="00D93AE5" w14:paraId="4F90DE04" w14:textId="77777777" w:rsidTr="00914396">
        <w:tc>
          <w:tcPr>
            <w:tcW w:w="2677" w:type="dxa"/>
          </w:tcPr>
          <w:p w14:paraId="3D4B9927" w14:textId="75298933" w:rsidR="009E781C" w:rsidRPr="00D93AE5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t xml:space="preserve">12. Способы возврата Заёмщиком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D93AE5">
              <w:rPr>
                <w:rFonts w:ascii="Times New Roman" w:eastAsia="Times New Roman" w:hAnsi="Times New Roman"/>
                <w:sz w:val="24"/>
                <w:szCs w:val="24"/>
              </w:rPr>
              <w:t>займа, уплаты процентов по нему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4829155C" w14:textId="5CEB49C2" w:rsidR="009E781C" w:rsidRPr="00D93AE5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C45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Переводом через отделение любого банка на расчетный счет Кредитора. Комиссия за погашение взимается по тарифам банка, которые необходимо узнавать заблаговременно перед оплатой на расчетный счет Кредитора, указанный в графике платежей.</w:t>
            </w:r>
          </w:p>
          <w:p w14:paraId="183F4D9A" w14:textId="73571EA9" w:rsidR="009E781C" w:rsidRPr="00D93AE5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C45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 использованием</w:t>
            </w: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банковской карт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через личный кабинет Заемщика на официальном сайте Кредитора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D93A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расположенном по адресу </w:t>
            </w:r>
            <w:hyperlink r:id="rId10" w:history="1">
              <w:r w:rsidRPr="00D93AE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https://mkkfinres.ru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Указанный способ возврата потребительского микрозайма является бесплатным для Заемщика.</w:t>
            </w:r>
          </w:p>
        </w:tc>
      </w:tr>
      <w:tr w:rsidR="009E781C" w:rsidRPr="00310F16" w14:paraId="04795200" w14:textId="77777777" w:rsidTr="00914396">
        <w:tc>
          <w:tcPr>
            <w:tcW w:w="2677" w:type="dxa"/>
          </w:tcPr>
          <w:p w14:paraId="36BED6FB" w14:textId="5FA01144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  <w:r w:rsidRPr="00310F1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Сроки, в течение которых Заёмщик вправе отказаться от получения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310F16">
              <w:rPr>
                <w:rFonts w:ascii="Times New Roman" w:eastAsia="Times New Roman" w:hAnsi="Times New Roman"/>
                <w:sz w:val="24"/>
                <w:szCs w:val="24"/>
              </w:rPr>
              <w:t>займа.</w:t>
            </w:r>
          </w:p>
        </w:tc>
        <w:tc>
          <w:tcPr>
            <w:tcW w:w="7530" w:type="dxa"/>
          </w:tcPr>
          <w:p w14:paraId="3071D39B" w14:textId="08CDDF06" w:rsidR="009E781C" w:rsidRPr="00310F16" w:rsidRDefault="009E781C" w:rsidP="009E781C">
            <w:pPr>
              <w:pStyle w:val="a6"/>
              <w:spacing w:after="0" w:line="240" w:lineRule="auto"/>
              <w:ind w:left="0" w:firstLine="5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1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трех рабочих дней со дня предварительного согласования индивидуальных условий договора займа Кредитором и до момента фактического получения денежных средств в качестве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потребительского </w:t>
            </w:r>
            <w:r w:rsidRPr="00310F16">
              <w:rPr>
                <w:rFonts w:ascii="Times New Roman" w:eastAsia="Times New Roman" w:hAnsi="Times New Roman"/>
                <w:sz w:val="24"/>
                <w:szCs w:val="24"/>
              </w:rPr>
              <w:t>микрозайма.</w:t>
            </w:r>
          </w:p>
          <w:p w14:paraId="524A38FE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51273D" w14:paraId="13FA185A" w14:textId="77777777" w:rsidTr="00914396">
        <w:tc>
          <w:tcPr>
            <w:tcW w:w="2677" w:type="dxa"/>
          </w:tcPr>
          <w:p w14:paraId="2AD4D467" w14:textId="14A3AE16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  <w:r w:rsidRPr="0051273D">
              <w:rPr>
                <w:rFonts w:ascii="Times New Roman" w:eastAsia="Times New Roman" w:hAnsi="Times New Roman"/>
                <w:sz w:val="24"/>
                <w:szCs w:val="24"/>
              </w:rPr>
              <w:t>Способы обеспечения исполнения обязательств по Договору микрозайма.</w:t>
            </w:r>
          </w:p>
        </w:tc>
        <w:tc>
          <w:tcPr>
            <w:tcW w:w="7530" w:type="dxa"/>
          </w:tcPr>
          <w:p w14:paraId="5A5C019D" w14:textId="77777777" w:rsidR="009E781C" w:rsidRPr="0051273D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73D">
              <w:rPr>
                <w:rFonts w:ascii="Times New Roman" w:eastAsia="Times New Roman" w:hAnsi="Times New Roman"/>
                <w:sz w:val="24"/>
                <w:szCs w:val="24"/>
              </w:rPr>
              <w:t>Залог транспортного средства, принадлежащего Заёмщику на праве собственности, в соответствии с договором залога.</w:t>
            </w:r>
          </w:p>
          <w:p w14:paraId="41E547A3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C47652" w14:paraId="295BD418" w14:textId="77777777" w:rsidTr="00914396">
        <w:tc>
          <w:tcPr>
            <w:tcW w:w="2677" w:type="dxa"/>
          </w:tcPr>
          <w:p w14:paraId="0D52AC1F" w14:textId="7F7F4BB7" w:rsidR="009E781C" w:rsidRPr="00C47652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57811141"/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15. Ответственность Заёмщика за ненадлежащее исполнение договора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>займа, информация о том, в каких случаях данные санкции могут быть применены.</w:t>
            </w:r>
          </w:p>
          <w:bookmarkEnd w:id="0"/>
          <w:p w14:paraId="3EC7C772" w14:textId="77777777" w:rsidR="009E781C" w:rsidRPr="00C47652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7CABC37F" w14:textId="50AAE0CB" w:rsidR="009E781C" w:rsidRPr="00C47652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За неисполнение или ненадлежащее исполнение Заёмщиком обязательств по возврату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займа, Заёмщик выплачивает Кредитору неустойку. Неустойка может быть применена в случае несоблюдения Графика платежей. Начисление неустойки начинается с первого дня просрочки платежа. Неустойка начисляется на просроченную часть суммы Основного долга до даты зачисления Кредитору всей суммы просроченного Основного долга (части основного долга) по договору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займа либо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даты 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>достижения максимального размера задолженности Заёмщика, определённого применимым законодательством РФ.</w:t>
            </w:r>
          </w:p>
          <w:p w14:paraId="113B41E6" w14:textId="091E2096" w:rsidR="009E781C" w:rsidRPr="00C47652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неустойки за неисполнение или ненадлежащее исполнение заемщиком обязательств по возврату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 xml:space="preserve">займа и (или) уплате процентов на сумму потребительского займа составляет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20% (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>двадцать процентов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)/год</w:t>
            </w:r>
            <w:r w:rsidRPr="00C476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81C" w:rsidRPr="008409EB" w14:paraId="606C9C6F" w14:textId="77777777" w:rsidTr="00914396">
        <w:tc>
          <w:tcPr>
            <w:tcW w:w="2677" w:type="dxa"/>
          </w:tcPr>
          <w:p w14:paraId="7A1FA229" w14:textId="08B6E8FC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иных договорах, которые Заёмщик обязан заключить и/или иных услугах, которые он обязан получить в связи с договором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займа, а также информация о возможности Заёмщика согласиться с заключением таких договоров и/или оказанием таких услуг либо отказаться от 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14:paraId="548AB539" w14:textId="1FA7886A" w:rsidR="009E781C" w:rsidRPr="001663B1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Договор залога транспортного средства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обязателен к заключению, отказаться от его заключения Заемщик не вправе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A9CE792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8409EB" w14:paraId="15F28C98" w14:textId="77777777" w:rsidTr="00914396">
        <w:tc>
          <w:tcPr>
            <w:tcW w:w="2677" w:type="dxa"/>
          </w:tcPr>
          <w:p w14:paraId="4EF1FBD7" w14:textId="315661D9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17. 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возможном увеличении суммы расходов Заёмщика по сравнению с ожидаемой суммой расходов в рублях, в том числе при применении переменной процентной ставки. </w:t>
            </w:r>
          </w:p>
        </w:tc>
        <w:tc>
          <w:tcPr>
            <w:tcW w:w="7530" w:type="dxa"/>
          </w:tcPr>
          <w:p w14:paraId="4CB3770E" w14:textId="77777777" w:rsidR="009E781C" w:rsidRPr="001663B1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При своевременном исполнении обязательств Заёмщиком увеличение суммы расходов Заёмщика по сравнению с ожидаемой суммой расходов в рублях не предусмотрено.</w:t>
            </w:r>
          </w:p>
          <w:p w14:paraId="345758B3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1663B1" w14:paraId="191970E3" w14:textId="77777777" w:rsidTr="00914396">
        <w:tc>
          <w:tcPr>
            <w:tcW w:w="2677" w:type="dxa"/>
          </w:tcPr>
          <w:p w14:paraId="0BD87F54" w14:textId="3F91E28D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Заёмщиком при предоставлении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микрозайма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, может отличаться от валюты потребительского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микро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займа.</w:t>
            </w:r>
          </w:p>
        </w:tc>
        <w:tc>
          <w:tcPr>
            <w:tcW w:w="7530" w:type="dxa"/>
          </w:tcPr>
          <w:p w14:paraId="65FAD27C" w14:textId="4B18F56E" w:rsidR="009E781C" w:rsidRPr="001663B1" w:rsidRDefault="009E781C" w:rsidP="009E781C">
            <w:pPr>
              <w:pStyle w:val="a6"/>
              <w:spacing w:after="0" w:line="240" w:lineRule="auto"/>
              <w:ind w:left="0" w:firstLine="5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Отсутствует, в связи с выдачей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займов в рублях РФ.</w:t>
            </w:r>
          </w:p>
          <w:p w14:paraId="0B997490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1663B1" w14:paraId="59677144" w14:textId="77777777" w:rsidTr="00914396">
        <w:tc>
          <w:tcPr>
            <w:tcW w:w="2677" w:type="dxa"/>
          </w:tcPr>
          <w:p w14:paraId="29E86335" w14:textId="1698E6C0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 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возможности запрета уступки Кредитором третьим лицам прав (требований) по договору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1663B1">
              <w:rPr>
                <w:rFonts w:ascii="Times New Roman" w:eastAsia="Times New Roman" w:hAnsi="Times New Roman"/>
                <w:sz w:val="24"/>
                <w:szCs w:val="24"/>
              </w:rPr>
              <w:t>займа.</w:t>
            </w:r>
          </w:p>
        </w:tc>
        <w:tc>
          <w:tcPr>
            <w:tcW w:w="7530" w:type="dxa"/>
          </w:tcPr>
          <w:p w14:paraId="5332A818" w14:textId="5FBEF43D" w:rsidR="009E781C" w:rsidRPr="008409EB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934">
              <w:rPr>
                <w:rFonts w:ascii="Times New Roman" w:eastAsia="Times New Roman" w:hAnsi="Times New Roman"/>
                <w:sz w:val="24"/>
                <w:szCs w:val="24"/>
              </w:rPr>
              <w:t>Отметка о запрете либо согласии на уступку Кредитором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2934">
              <w:rPr>
                <w:rFonts w:ascii="Times New Roman" w:eastAsia="Times New Roman" w:hAnsi="Times New Roman"/>
                <w:sz w:val="24"/>
                <w:szCs w:val="24"/>
              </w:rPr>
              <w:t xml:space="preserve">прав (требований) по договору потребительского займа </w:t>
            </w:r>
            <w:r w:rsidRPr="008C08ED">
              <w:rPr>
                <w:rFonts w:ascii="Times New Roman" w:eastAsia="Times New Roman" w:hAnsi="Times New Roman"/>
                <w:sz w:val="24"/>
                <w:szCs w:val="24"/>
              </w:rPr>
              <w:t xml:space="preserve">третьим лицам </w:t>
            </w:r>
            <w:r w:rsidRPr="001D2934">
              <w:rPr>
                <w:rFonts w:ascii="Times New Roman" w:eastAsia="Times New Roman" w:hAnsi="Times New Roman"/>
                <w:sz w:val="24"/>
                <w:szCs w:val="24"/>
              </w:rPr>
              <w:t xml:space="preserve">проставляется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Заемщиком </w:t>
            </w:r>
            <w:r w:rsidRPr="001D2934">
              <w:rPr>
                <w:rFonts w:ascii="Times New Roman" w:eastAsia="Times New Roman" w:hAnsi="Times New Roman"/>
                <w:sz w:val="24"/>
                <w:szCs w:val="24"/>
              </w:rPr>
              <w:t>в индивидуальных условиях договора микрозайма.</w:t>
            </w:r>
          </w:p>
        </w:tc>
      </w:tr>
      <w:tr w:rsidR="009E781C" w:rsidRPr="00020DA3" w14:paraId="7C2A5E42" w14:textId="77777777" w:rsidTr="00914396">
        <w:tc>
          <w:tcPr>
            <w:tcW w:w="2677" w:type="dxa"/>
          </w:tcPr>
          <w:p w14:paraId="325DD598" w14:textId="428A15B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 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предоставления Заёмщиком информации об использовании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займа (при включении в договор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займа условия об использовании Заёмщиком полученного потребительского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займа на определенные цели). </w:t>
            </w:r>
          </w:p>
        </w:tc>
        <w:tc>
          <w:tcPr>
            <w:tcW w:w="7530" w:type="dxa"/>
          </w:tcPr>
          <w:p w14:paraId="54D7F6F8" w14:textId="436DBBBA" w:rsidR="009E781C" w:rsidRPr="008409EB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Потребительские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займы, предоставляемые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Кредитором,</w:t>
            </w:r>
            <w:r w:rsidRPr="00020DA3">
              <w:rPr>
                <w:rFonts w:ascii="Times New Roman" w:eastAsia="Times New Roman" w:hAnsi="Times New Roman"/>
                <w:sz w:val="24"/>
                <w:szCs w:val="24"/>
              </w:rPr>
              <w:t xml:space="preserve"> являются нецелевыми. </w:t>
            </w:r>
          </w:p>
        </w:tc>
      </w:tr>
      <w:tr w:rsidR="009E781C" w:rsidRPr="002D1239" w14:paraId="745AFAD6" w14:textId="77777777" w:rsidTr="00914396">
        <w:tc>
          <w:tcPr>
            <w:tcW w:w="2677" w:type="dxa"/>
          </w:tcPr>
          <w:p w14:paraId="02067AA1" w14:textId="713113BD" w:rsidR="009E781C" w:rsidRPr="002D1239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21. </w:t>
            </w:r>
            <w:r w:rsidRPr="002D1239">
              <w:rPr>
                <w:rFonts w:ascii="Times New Roman" w:eastAsia="Times New Roman" w:hAnsi="Times New Roman"/>
                <w:sz w:val="24"/>
                <w:szCs w:val="24"/>
              </w:rPr>
              <w:t>Подсудность споров по искам Кредитора к Заёмщику.</w:t>
            </w:r>
          </w:p>
          <w:p w14:paraId="384698C4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075F76BE" w14:textId="17588760" w:rsidR="009E781C" w:rsidRPr="008409EB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D1239">
              <w:rPr>
                <w:rFonts w:ascii="Times New Roman" w:eastAsia="Times New Roman" w:hAnsi="Times New Roman"/>
                <w:sz w:val="24"/>
                <w:szCs w:val="24"/>
              </w:rPr>
              <w:t xml:space="preserve">о искам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Кредитора</w:t>
            </w:r>
            <w:r w:rsidRPr="002D1239">
              <w:rPr>
                <w:rFonts w:ascii="Times New Roman" w:eastAsia="Times New Roman" w:hAnsi="Times New Roman"/>
                <w:sz w:val="24"/>
                <w:szCs w:val="24"/>
              </w:rPr>
              <w:t xml:space="preserve"> к Заемщику подсудность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1239">
              <w:rPr>
                <w:rFonts w:ascii="Times New Roman" w:eastAsia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яется</w:t>
            </w:r>
            <w:r w:rsidRPr="002D1239">
              <w:rPr>
                <w:rFonts w:ascii="Times New Roman" w:eastAsia="Times New Roman" w:hAnsi="Times New Roman"/>
                <w:sz w:val="24"/>
                <w:szCs w:val="24"/>
              </w:rPr>
              <w:t xml:space="preserve"> в Индивидуальных условиях договора микрозайма.</w:t>
            </w:r>
          </w:p>
        </w:tc>
      </w:tr>
      <w:tr w:rsidR="009E781C" w:rsidRPr="000D2846" w14:paraId="16DFAC1C" w14:textId="77777777" w:rsidTr="00914396">
        <w:tc>
          <w:tcPr>
            <w:tcW w:w="2677" w:type="dxa"/>
          </w:tcPr>
          <w:p w14:paraId="35EC8067" w14:textId="0A1224E7" w:rsidR="009E781C" w:rsidRPr="000D2846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846">
              <w:rPr>
                <w:rFonts w:ascii="Times New Roman" w:eastAsia="Times New Roman" w:hAnsi="Times New Roman"/>
                <w:sz w:val="24"/>
                <w:szCs w:val="24"/>
              </w:rPr>
              <w:t>22. Формуляры или иные стандартные формы, в которых определены общие условия договора потребительского микрозайма.</w:t>
            </w:r>
          </w:p>
        </w:tc>
        <w:tc>
          <w:tcPr>
            <w:tcW w:w="7530" w:type="dxa"/>
          </w:tcPr>
          <w:p w14:paraId="295B8569" w14:textId="2C495F50" w:rsidR="009E781C" w:rsidRPr="000D2846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846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условия договора потребительского микрозайма размещены на официальном сайте Кредитора по адресу </w:t>
            </w:r>
            <w:hyperlink r:id="rId11" w:history="1">
              <w:r w:rsidRPr="000D2846">
                <w:rPr>
                  <w:rFonts w:ascii="Times New Roman" w:hAnsi="Times New Roman"/>
                  <w:sz w:val="24"/>
                  <w:szCs w:val="24"/>
                </w:rPr>
                <w:t>https://mkkfinres.ru</w:t>
              </w:r>
            </w:hyperlink>
          </w:p>
          <w:p w14:paraId="4D06BF24" w14:textId="77777777" w:rsidR="009E781C" w:rsidRPr="000D2846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81C" w:rsidRPr="00C2008F" w14:paraId="5330DB08" w14:textId="77777777" w:rsidTr="00914396">
        <w:tc>
          <w:tcPr>
            <w:tcW w:w="2677" w:type="dxa"/>
          </w:tcPr>
          <w:p w14:paraId="4ECD45E4" w14:textId="624B3CB5" w:rsidR="009E781C" w:rsidRPr="00C2008F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 </w:t>
            </w: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Порядок 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разъяснений.</w:t>
            </w:r>
          </w:p>
          <w:p w14:paraId="0692AD58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09E25F3E" w14:textId="3A36CFC8" w:rsidR="009E781C" w:rsidRPr="00C2008F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Условия договоров и иных документов разъясняются получателю финансовой услуги в устной либо письменной форме.</w:t>
            </w:r>
          </w:p>
          <w:p w14:paraId="4C6C7875" w14:textId="6B5B557D" w:rsidR="009E781C" w:rsidRPr="00C2008F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 xml:space="preserve">Устные разъяснения осуществляются Кредитором в офисах Кредитора либо посредством телефонных переговоров. Лицом, ответственным за дачу устных разъяснений, является сотрудник Общества либо лицо, наделенное Обществом соответствующими полномочиями и действующее на основании доверенности. </w:t>
            </w:r>
          </w:p>
          <w:p w14:paraId="7855FD69" w14:textId="62D8A33D" w:rsidR="009E781C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, подтверждающим полномочия на осуществление действий от имени получателя финансовой услуги, явля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тся нотариально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удостоверенная </w:t>
            </w: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E3076B9" w14:textId="4AE76E3E" w:rsidR="009E781C" w:rsidRPr="00C2008F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В случае обращения получателя финансовой услуги за устной консультацией предельный срок ожидания в очереди на телефонной линии не может превышать 30 (тридцати) минут.</w:t>
            </w:r>
          </w:p>
          <w:p w14:paraId="4410CA62" w14:textId="0798E37E" w:rsidR="009E781C" w:rsidRPr="008409EB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8F">
              <w:rPr>
                <w:rFonts w:ascii="Times New Roman" w:eastAsia="Times New Roman" w:hAnsi="Times New Roman"/>
                <w:sz w:val="24"/>
                <w:szCs w:val="24"/>
              </w:rPr>
              <w:t>Письменные разъяснения даются Кредитором в ответ на письменное обращение получателя финансовой услуги, направленное на почтовый адрес Кредитора. Ответ на письменное обращение предоставляется Кредитором в течение 12 (двенадцати) дней с момента получения обращения.</w:t>
            </w:r>
          </w:p>
        </w:tc>
      </w:tr>
      <w:tr w:rsidR="009E781C" w:rsidRPr="00AB62AE" w14:paraId="030729BD" w14:textId="77777777" w:rsidTr="00914396">
        <w:tc>
          <w:tcPr>
            <w:tcW w:w="2677" w:type="dxa"/>
          </w:tcPr>
          <w:p w14:paraId="5FE6C3AA" w14:textId="0F5C0B0E" w:rsidR="009E781C" w:rsidRPr="00AB62AE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24. 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>Способы и адреса для направления обращений получателями финансовых услуг.</w:t>
            </w:r>
          </w:p>
          <w:p w14:paraId="6CEDF5CF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5C7E37FF" w14:textId="5920C6FD" w:rsidR="009E781C" w:rsidRPr="00AB62AE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Обращения могут направляться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>аёмщиками в письменном виде непосредственно Кредитору, в саморегулируемую организацию либо в Банк России.</w:t>
            </w:r>
          </w:p>
          <w:p w14:paraId="713714EA" w14:textId="597ECCDF" w:rsidR="009E781C" w:rsidRPr="00AB62AE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>аемщиков Кредитору направляются в письменном виде на адрес: 109316, Москва, Волгоградский проспект, д. 43, корп. 3., пом. XXIV, ком. 9 “Л”.</w:t>
            </w:r>
          </w:p>
          <w:p w14:paraId="12D948DD" w14:textId="2F48D601" w:rsidR="009E781C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аемщиков в СРО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>Микрофинансирование и 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(СРО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) могут направляться по адресу: 107078, г. Москва, Орликов переулок, д.5, стр.2, подъезд 1, этаж 5, офисы 538 и 540. </w:t>
            </w:r>
          </w:p>
          <w:p w14:paraId="7FFC098C" w14:textId="1846AFE5" w:rsidR="009E781C" w:rsidRPr="008409EB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B62AE">
              <w:rPr>
                <w:rFonts w:ascii="Times New Roman" w:eastAsia="Times New Roman" w:hAnsi="Times New Roman"/>
                <w:sz w:val="24"/>
                <w:szCs w:val="24"/>
              </w:rPr>
              <w:t xml:space="preserve">аемщиков в Банк России могут направляться почтой по адресу: 107016, Москва, ул. Неглинная, д. 12, Банк России, либо через Интернет в Интернет-приемную Банка России, расположенную по адресу: </w:t>
            </w:r>
            <w:hyperlink r:id="rId12" w:history="1">
              <w:r w:rsidRPr="00257479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https://www.cbr.ru/</w:t>
              </w:r>
              <w:r w:rsidRPr="0025747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</w:t>
              </w:r>
              <w:proofErr w:type="spellStart"/>
              <w:r w:rsidRPr="00257479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eception</w:t>
              </w:r>
              <w:proofErr w:type="spellEnd"/>
              <w:r w:rsidRPr="00257479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9E781C" w:rsidRPr="008409EB" w14:paraId="2338642D" w14:textId="77777777" w:rsidTr="00914396">
        <w:tc>
          <w:tcPr>
            <w:tcW w:w="2677" w:type="dxa"/>
          </w:tcPr>
          <w:p w14:paraId="7ADA7FCD" w14:textId="6AD69B43" w:rsidR="009E781C" w:rsidRPr="00062982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57988353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 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 xml:space="preserve">Риски, связанные с заключением и исполнением получателем финансовой услуги условий договора об оказании финансовой услуги, и возможных негативных финансовых 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последствиях при использовании финансовой услуги.</w:t>
            </w:r>
          </w:p>
          <w:p w14:paraId="018C32D6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5DFC88F7" w14:textId="6E393933" w:rsidR="009E781C" w:rsidRPr="00062982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Получатель финансовой услуги должен осознавать, что при несвоевременной оплате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договору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>займа сумма его расходов увеличивается в связи со следующими обстоятельствами:</w:t>
            </w:r>
          </w:p>
          <w:p w14:paraId="3C1F45B8" w14:textId="5313BC09" w:rsidR="009E781C" w:rsidRPr="00062982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>величивается срок пользования денежными средствами.</w:t>
            </w:r>
          </w:p>
          <w:p w14:paraId="16C28375" w14:textId="78671E3A" w:rsidR="009E781C" w:rsidRPr="00062982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>ачисляется неустойка (пени) за несвоевременное исполнение обязательств.</w:t>
            </w:r>
          </w:p>
          <w:p w14:paraId="3F39CA4A" w14:textId="329555A2" w:rsidR="009E781C" w:rsidRPr="00062982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r w:rsidRPr="00062982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принятия решения о судебном урегулировании спора процессуальные издержки (госпошлина) возмещаются стороне, требования которой удовлетворены за счет средств ответчика по иску.</w:t>
            </w:r>
          </w:p>
          <w:p w14:paraId="7A86DF7B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"/>
      <w:tr w:rsidR="009E781C" w:rsidRPr="008409EB" w14:paraId="63E3C93D" w14:textId="77777777" w:rsidTr="00914396">
        <w:tc>
          <w:tcPr>
            <w:tcW w:w="2677" w:type="dxa"/>
          </w:tcPr>
          <w:p w14:paraId="074E6E5A" w14:textId="3C17FA24" w:rsidR="009E781C" w:rsidRPr="00A92BE8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26. 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правах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>аемщика при осуществлении процедуры взыскания просроченной задолженности.</w:t>
            </w:r>
          </w:p>
          <w:p w14:paraId="4BE4EFB3" w14:textId="77777777" w:rsidR="009E781C" w:rsidRPr="008409EB" w:rsidRDefault="009E781C" w:rsidP="009E781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14:paraId="2D09620B" w14:textId="7EE4084C" w:rsidR="009E781C" w:rsidRPr="00A92BE8" w:rsidRDefault="009E781C" w:rsidP="009E781C">
            <w:pPr>
              <w:pStyle w:val="a6"/>
              <w:spacing w:after="0" w:line="240" w:lineRule="auto"/>
              <w:ind w:left="0" w:firstLine="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При осуществлении процедуры взыскания просроченной задолженности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>аемщик имеет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следующие права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5C031AE2" w14:textId="0D1F47EB" w:rsidR="009E781C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согласие либо отказ от способов взаимодействия, не поименованных в ч. 1 ст. 4 Федерального Закона от 02.07.2016 № 230–ФЗ «О защите прав и законных интересов физических лиц при осуществлении деятельности по возврату просроченной задолженности», а так же в Федеральном законе «О микрофинансовой деятельности и микрофинансовых организациях», которое осуществляется посредством направления письменного соглашения между должником и кредитором или лицом, действующим от его имени и (или) в его интересах. </w:t>
            </w:r>
          </w:p>
          <w:p w14:paraId="30485E46" w14:textId="6D169E4F" w:rsidR="009E781C" w:rsidRPr="009B72D6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>на осуществление взаимодействия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Кредитором </w:t>
            </w:r>
            <w:r w:rsidRPr="009B72D6">
              <w:rPr>
                <w:rFonts w:ascii="Times New Roman" w:eastAsia="Times New Roman" w:hAnsi="Times New Roman"/>
                <w:sz w:val="24"/>
                <w:szCs w:val="24"/>
              </w:rPr>
              <w:t>только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указанного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 xml:space="preserve">аемщиком представителя 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 xml:space="preserve"> отказ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такого </w:t>
            </w:r>
            <w:r w:rsidRPr="005C451E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2D6">
              <w:rPr>
                <w:rFonts w:ascii="Times New Roman" w:eastAsia="Times New Roman" w:hAnsi="Times New Roman"/>
                <w:sz w:val="24"/>
                <w:szCs w:val="24"/>
              </w:rPr>
              <w:t xml:space="preserve">путем направления в адрес Кредитора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соответствующего </w:t>
            </w:r>
            <w:r w:rsidRPr="009B72D6">
              <w:rPr>
                <w:rFonts w:ascii="Times New Roman" w:eastAsia="Times New Roman" w:hAnsi="Times New Roman"/>
                <w:sz w:val="24"/>
                <w:szCs w:val="24"/>
              </w:rPr>
              <w:t>заявления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E2B369A" w14:textId="0416C30A" w:rsidR="009E781C" w:rsidRPr="00A92BE8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взаимодействие исключительно с кредитором (новым кредитором, при переходе к нему прав требования) либо с лицом, действующим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 </w:t>
            </w:r>
          </w:p>
          <w:p w14:paraId="5ADA9E5E" w14:textId="784500BD" w:rsidR="009E781C" w:rsidRPr="00A92BE8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раво на отзыв согласия на обработку, передачу (сообщение) третьим лицам персональных данных. </w:t>
            </w:r>
          </w:p>
          <w:p w14:paraId="0FFA4FB2" w14:textId="0A3A5603" w:rsidR="009E781C" w:rsidRPr="00A92BE8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взаимодействие на русском языке или языке, на котором составлен договор или иной документ, на основании которого возникла просроченная задолженность. </w:t>
            </w:r>
          </w:p>
          <w:p w14:paraId="3F048423" w14:textId="7B027499" w:rsidR="009E781C" w:rsidRDefault="009E781C" w:rsidP="009E781C">
            <w:pPr>
              <w:pStyle w:val="a6"/>
              <w:spacing w:after="0" w:line="240" w:lineRule="auto"/>
              <w:ind w:left="0" w:firstLine="5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92BE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получать информацию о привлечении иного лица для осуществления взаимодействия. Право получать ответы на обращения по содержащимся в таком обращении вопросам, касающимся просроченной задолженности и ее взыскания. </w:t>
            </w:r>
          </w:p>
          <w:p w14:paraId="31429F3E" w14:textId="3B001453" w:rsidR="009E781C" w:rsidRPr="008409EB" w:rsidRDefault="009E781C" w:rsidP="009E781C">
            <w:pPr>
              <w:widowControl w:val="0"/>
              <w:ind w:firstLine="5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Заемщик</w:t>
            </w:r>
            <w:r w:rsidRPr="00204945">
              <w:rPr>
                <w:rFonts w:eastAsia="Times New Roman"/>
                <w:color w:val="auto"/>
                <w:sz w:val="24"/>
                <w:szCs w:val="24"/>
              </w:rPr>
              <w:t xml:space="preserve"> также имеет иные права, предусмотренные Федеральным Законом от 02.07.2016 № 230–ФЗ «О защите прав и законных интересов физических лиц при осуществлении деятельности по возврату просроченной задолженности»</w:t>
            </w:r>
            <w:r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308F0F17" w14:textId="77777777" w:rsidR="00FE78AA" w:rsidRDefault="00FE78AA" w:rsidP="00250B40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</w:p>
    <w:p w14:paraId="6FA3F9B9" w14:textId="37414335" w:rsidR="00250B40" w:rsidRDefault="00250B40" w:rsidP="00250B40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250B40">
        <w:rPr>
          <w:rFonts w:eastAsia="Times New Roman"/>
          <w:color w:val="auto"/>
          <w:sz w:val="24"/>
          <w:szCs w:val="24"/>
        </w:rPr>
        <w:t xml:space="preserve">Информация об условиях предоставления, использования и возврата потребительского </w:t>
      </w:r>
      <w:r w:rsidR="00711D04">
        <w:rPr>
          <w:rFonts w:eastAsia="Times New Roman"/>
          <w:color w:val="auto"/>
          <w:sz w:val="24"/>
          <w:szCs w:val="24"/>
        </w:rPr>
        <w:t>микро</w:t>
      </w:r>
      <w:r w:rsidRPr="00250B40">
        <w:rPr>
          <w:rFonts w:eastAsia="Times New Roman"/>
          <w:color w:val="auto"/>
          <w:sz w:val="24"/>
          <w:szCs w:val="24"/>
        </w:rPr>
        <w:t xml:space="preserve">займа в ООО «МКК ФИНРЕСУРС» </w:t>
      </w:r>
      <w:bookmarkStart w:id="2" w:name="_Hlk59556700"/>
      <w:r w:rsidR="008228DC">
        <w:rPr>
          <w:rFonts w:eastAsia="Times New Roman"/>
          <w:color w:val="auto"/>
          <w:sz w:val="24"/>
          <w:szCs w:val="24"/>
        </w:rPr>
        <w:t>по программе микрокредитования «потребительский залоговый микрозайм»</w:t>
      </w:r>
      <w:bookmarkEnd w:id="2"/>
      <w:r w:rsidR="008228DC">
        <w:rPr>
          <w:rFonts w:eastAsia="Times New Roman"/>
          <w:color w:val="auto"/>
          <w:sz w:val="24"/>
          <w:szCs w:val="24"/>
        </w:rPr>
        <w:t xml:space="preserve"> </w:t>
      </w:r>
      <w:r w:rsidR="00B53B7B">
        <w:rPr>
          <w:rFonts w:eastAsia="Times New Roman"/>
          <w:color w:val="auto"/>
          <w:sz w:val="24"/>
          <w:szCs w:val="24"/>
        </w:rPr>
        <w:t xml:space="preserve">в рамках проведения Акции </w:t>
      </w:r>
      <w:r w:rsidRPr="00250B40">
        <w:rPr>
          <w:rFonts w:eastAsia="Times New Roman"/>
          <w:color w:val="auto"/>
          <w:sz w:val="24"/>
          <w:szCs w:val="24"/>
        </w:rPr>
        <w:t>доводится до сведения Заёмщика бесплатно, предназначается для неограниченного круга лиц в целях раскрытия информации о Кредиторе в соответствии с действующим законодательством</w:t>
      </w:r>
      <w:r w:rsidR="00FE78AA">
        <w:rPr>
          <w:rFonts w:eastAsia="Times New Roman"/>
          <w:color w:val="auto"/>
          <w:sz w:val="24"/>
          <w:szCs w:val="24"/>
        </w:rPr>
        <w:t xml:space="preserve"> РФ</w:t>
      </w:r>
      <w:r w:rsidRPr="00250B40">
        <w:rPr>
          <w:rFonts w:eastAsia="Times New Roman"/>
          <w:color w:val="auto"/>
          <w:sz w:val="24"/>
          <w:szCs w:val="24"/>
        </w:rPr>
        <w:t>.</w:t>
      </w:r>
    </w:p>
    <w:p w14:paraId="568A7E24" w14:textId="77777777" w:rsidR="00B53B7B" w:rsidRPr="00B53B7B" w:rsidRDefault="00B53B7B" w:rsidP="00B53B7B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  <w:r w:rsidRPr="00B53B7B">
        <w:rPr>
          <w:rFonts w:eastAsia="Times New Roman"/>
          <w:color w:val="auto"/>
          <w:sz w:val="24"/>
          <w:szCs w:val="24"/>
        </w:rPr>
        <w:t>Акция проводится с целью формирования и поддержания интереса к финансовым услугам Общества.</w:t>
      </w:r>
    </w:p>
    <w:p w14:paraId="482535B7" w14:textId="77777777" w:rsidR="00B53B7B" w:rsidRPr="00250B40" w:rsidRDefault="00B53B7B" w:rsidP="00250B40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eastAsia="Times New Roman"/>
          <w:color w:val="auto"/>
          <w:sz w:val="24"/>
          <w:szCs w:val="24"/>
        </w:rPr>
      </w:pPr>
    </w:p>
    <w:sectPr w:rsidR="00B53B7B" w:rsidRPr="00250B40" w:rsidSect="005D437E">
      <w:footerReference w:type="default" r:id="rId13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FF78" w14:textId="77777777" w:rsidR="006952D7" w:rsidRDefault="006952D7" w:rsidP="00C549CA">
      <w:pPr>
        <w:spacing w:after="0" w:line="240" w:lineRule="auto"/>
      </w:pPr>
      <w:r>
        <w:separator/>
      </w:r>
    </w:p>
  </w:endnote>
  <w:endnote w:type="continuationSeparator" w:id="0">
    <w:p w14:paraId="39F88FBB" w14:textId="77777777" w:rsidR="006952D7" w:rsidRDefault="006952D7" w:rsidP="00C5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688918"/>
      <w:docPartObj>
        <w:docPartGallery w:val="Page Numbers (Bottom of Page)"/>
        <w:docPartUnique/>
      </w:docPartObj>
    </w:sdtPr>
    <w:sdtEndPr/>
    <w:sdtContent>
      <w:p w14:paraId="2FC3932B" w14:textId="5C80EB42" w:rsidR="00C549CA" w:rsidRDefault="00C549CA">
        <w:pPr>
          <w:pStyle w:val="af1"/>
          <w:jc w:val="right"/>
        </w:pPr>
        <w:r w:rsidRPr="005D437E">
          <w:rPr>
            <w:color w:val="auto"/>
            <w:sz w:val="18"/>
            <w:szCs w:val="18"/>
          </w:rPr>
          <w:fldChar w:fldCharType="begin"/>
        </w:r>
        <w:r w:rsidRPr="005D437E">
          <w:rPr>
            <w:color w:val="auto"/>
            <w:sz w:val="18"/>
            <w:szCs w:val="18"/>
          </w:rPr>
          <w:instrText>PAGE   \* MERGEFORMAT</w:instrText>
        </w:r>
        <w:r w:rsidRPr="005D437E">
          <w:rPr>
            <w:color w:val="auto"/>
            <w:sz w:val="18"/>
            <w:szCs w:val="18"/>
          </w:rPr>
          <w:fldChar w:fldCharType="separate"/>
        </w:r>
        <w:r w:rsidRPr="005D437E">
          <w:rPr>
            <w:color w:val="auto"/>
            <w:sz w:val="18"/>
            <w:szCs w:val="18"/>
          </w:rPr>
          <w:t>2</w:t>
        </w:r>
        <w:r w:rsidRPr="005D437E">
          <w:rPr>
            <w:color w:val="au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60C8" w14:textId="77777777" w:rsidR="006952D7" w:rsidRDefault="006952D7" w:rsidP="00C549CA">
      <w:pPr>
        <w:spacing w:after="0" w:line="240" w:lineRule="auto"/>
      </w:pPr>
      <w:r>
        <w:separator/>
      </w:r>
    </w:p>
  </w:footnote>
  <w:footnote w:type="continuationSeparator" w:id="0">
    <w:p w14:paraId="3A83E432" w14:textId="77777777" w:rsidR="006952D7" w:rsidRDefault="006952D7" w:rsidP="00C5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6E7"/>
    <w:multiLevelType w:val="multilevel"/>
    <w:tmpl w:val="E1B8D014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6A6E31"/>
    <w:multiLevelType w:val="multilevel"/>
    <w:tmpl w:val="25220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2" w15:restartNumberingAfterBreak="0">
    <w:nsid w:val="214F06E9"/>
    <w:multiLevelType w:val="multilevel"/>
    <w:tmpl w:val="8822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3" w15:restartNumberingAfterBreak="0">
    <w:nsid w:val="238D1D2E"/>
    <w:multiLevelType w:val="hybridMultilevel"/>
    <w:tmpl w:val="B476ADA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39D64E9"/>
    <w:multiLevelType w:val="hybridMultilevel"/>
    <w:tmpl w:val="879C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C56"/>
    <w:multiLevelType w:val="hybridMultilevel"/>
    <w:tmpl w:val="BE462168"/>
    <w:lvl w:ilvl="0" w:tplc="00AC09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5861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FA13FF"/>
    <w:multiLevelType w:val="hybridMultilevel"/>
    <w:tmpl w:val="82A09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4D1728"/>
    <w:multiLevelType w:val="multilevel"/>
    <w:tmpl w:val="FFECA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" w15:restartNumberingAfterBreak="0">
    <w:nsid w:val="51450133"/>
    <w:multiLevelType w:val="hybridMultilevel"/>
    <w:tmpl w:val="735603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4748"/>
    <w:multiLevelType w:val="multilevel"/>
    <w:tmpl w:val="C56AF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AA45CE6"/>
    <w:multiLevelType w:val="hybridMultilevel"/>
    <w:tmpl w:val="8B7E0888"/>
    <w:lvl w:ilvl="0" w:tplc="94A05B3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75"/>
    <w:rsid w:val="00000F15"/>
    <w:rsid w:val="000054AA"/>
    <w:rsid w:val="00006AEE"/>
    <w:rsid w:val="00020DA3"/>
    <w:rsid w:val="000355B1"/>
    <w:rsid w:val="00046B5D"/>
    <w:rsid w:val="000506D5"/>
    <w:rsid w:val="00062982"/>
    <w:rsid w:val="000638C3"/>
    <w:rsid w:val="00074FF2"/>
    <w:rsid w:val="000853C9"/>
    <w:rsid w:val="00086E35"/>
    <w:rsid w:val="000A6419"/>
    <w:rsid w:val="000A7662"/>
    <w:rsid w:val="000D2846"/>
    <w:rsid w:val="000D5CAE"/>
    <w:rsid w:val="000E72F7"/>
    <w:rsid w:val="000F72F5"/>
    <w:rsid w:val="00122D54"/>
    <w:rsid w:val="001257FA"/>
    <w:rsid w:val="001403E8"/>
    <w:rsid w:val="001410A3"/>
    <w:rsid w:val="00141289"/>
    <w:rsid w:val="00143D57"/>
    <w:rsid w:val="00150EE9"/>
    <w:rsid w:val="001663B1"/>
    <w:rsid w:val="00185B57"/>
    <w:rsid w:val="00195CAA"/>
    <w:rsid w:val="001D2934"/>
    <w:rsid w:val="001F58B1"/>
    <w:rsid w:val="00204945"/>
    <w:rsid w:val="00220EBD"/>
    <w:rsid w:val="00226335"/>
    <w:rsid w:val="00227984"/>
    <w:rsid w:val="00237D01"/>
    <w:rsid w:val="002454B6"/>
    <w:rsid w:val="00250B40"/>
    <w:rsid w:val="002525B9"/>
    <w:rsid w:val="00262746"/>
    <w:rsid w:val="00267FC0"/>
    <w:rsid w:val="00290FA0"/>
    <w:rsid w:val="002B2353"/>
    <w:rsid w:val="002D1239"/>
    <w:rsid w:val="002D57CF"/>
    <w:rsid w:val="002E1C75"/>
    <w:rsid w:val="002F1FA5"/>
    <w:rsid w:val="00302043"/>
    <w:rsid w:val="00310F16"/>
    <w:rsid w:val="00321A04"/>
    <w:rsid w:val="0034718B"/>
    <w:rsid w:val="00377B81"/>
    <w:rsid w:val="003A2C40"/>
    <w:rsid w:val="003B3D50"/>
    <w:rsid w:val="003C2305"/>
    <w:rsid w:val="003D4333"/>
    <w:rsid w:val="003E52DD"/>
    <w:rsid w:val="004041F1"/>
    <w:rsid w:val="00405238"/>
    <w:rsid w:val="004243AB"/>
    <w:rsid w:val="00424961"/>
    <w:rsid w:val="004322B9"/>
    <w:rsid w:val="004329D9"/>
    <w:rsid w:val="00433EB0"/>
    <w:rsid w:val="00442618"/>
    <w:rsid w:val="00452866"/>
    <w:rsid w:val="00487F5C"/>
    <w:rsid w:val="00492109"/>
    <w:rsid w:val="00496378"/>
    <w:rsid w:val="00496C56"/>
    <w:rsid w:val="004A774F"/>
    <w:rsid w:val="004C4258"/>
    <w:rsid w:val="004C6EB6"/>
    <w:rsid w:val="004D266B"/>
    <w:rsid w:val="004F59F2"/>
    <w:rsid w:val="0051273D"/>
    <w:rsid w:val="0051544C"/>
    <w:rsid w:val="00526DEB"/>
    <w:rsid w:val="00544FFD"/>
    <w:rsid w:val="00553235"/>
    <w:rsid w:val="0055419C"/>
    <w:rsid w:val="00554904"/>
    <w:rsid w:val="00590D00"/>
    <w:rsid w:val="005963F9"/>
    <w:rsid w:val="005B0637"/>
    <w:rsid w:val="005B763A"/>
    <w:rsid w:val="005C451E"/>
    <w:rsid w:val="005D437E"/>
    <w:rsid w:val="005E5B0F"/>
    <w:rsid w:val="005E6D11"/>
    <w:rsid w:val="00603303"/>
    <w:rsid w:val="00606AA0"/>
    <w:rsid w:val="0062469E"/>
    <w:rsid w:val="00624B16"/>
    <w:rsid w:val="00680B57"/>
    <w:rsid w:val="006952D7"/>
    <w:rsid w:val="006C2A96"/>
    <w:rsid w:val="006E0716"/>
    <w:rsid w:val="006F5039"/>
    <w:rsid w:val="006F7671"/>
    <w:rsid w:val="00711D04"/>
    <w:rsid w:val="00723EB1"/>
    <w:rsid w:val="007A24D1"/>
    <w:rsid w:val="007C6BA3"/>
    <w:rsid w:val="007E2E73"/>
    <w:rsid w:val="007F260D"/>
    <w:rsid w:val="007F75C4"/>
    <w:rsid w:val="00812889"/>
    <w:rsid w:val="008137BC"/>
    <w:rsid w:val="00820853"/>
    <w:rsid w:val="008228DC"/>
    <w:rsid w:val="00835B08"/>
    <w:rsid w:val="008409EB"/>
    <w:rsid w:val="00866DF8"/>
    <w:rsid w:val="00895CFC"/>
    <w:rsid w:val="008A5F06"/>
    <w:rsid w:val="008C08ED"/>
    <w:rsid w:val="00905ACB"/>
    <w:rsid w:val="00906F51"/>
    <w:rsid w:val="00914396"/>
    <w:rsid w:val="00932EA2"/>
    <w:rsid w:val="0093674A"/>
    <w:rsid w:val="00950ABA"/>
    <w:rsid w:val="009544CE"/>
    <w:rsid w:val="00981883"/>
    <w:rsid w:val="009B72D6"/>
    <w:rsid w:val="009B7E60"/>
    <w:rsid w:val="009D0EF5"/>
    <w:rsid w:val="009D2A14"/>
    <w:rsid w:val="009E781C"/>
    <w:rsid w:val="00A31CEA"/>
    <w:rsid w:val="00A430AF"/>
    <w:rsid w:val="00A54059"/>
    <w:rsid w:val="00A6649E"/>
    <w:rsid w:val="00A76811"/>
    <w:rsid w:val="00A77D72"/>
    <w:rsid w:val="00A87979"/>
    <w:rsid w:val="00A927EB"/>
    <w:rsid w:val="00A92BE8"/>
    <w:rsid w:val="00AB62AE"/>
    <w:rsid w:val="00AD733B"/>
    <w:rsid w:val="00B0122A"/>
    <w:rsid w:val="00B10301"/>
    <w:rsid w:val="00B26FD5"/>
    <w:rsid w:val="00B40D11"/>
    <w:rsid w:val="00B41EDF"/>
    <w:rsid w:val="00B46AAB"/>
    <w:rsid w:val="00B53B7B"/>
    <w:rsid w:val="00B540EE"/>
    <w:rsid w:val="00B61411"/>
    <w:rsid w:val="00B62B88"/>
    <w:rsid w:val="00B77141"/>
    <w:rsid w:val="00B95052"/>
    <w:rsid w:val="00BD3ACD"/>
    <w:rsid w:val="00C00948"/>
    <w:rsid w:val="00C03E45"/>
    <w:rsid w:val="00C2008F"/>
    <w:rsid w:val="00C2016F"/>
    <w:rsid w:val="00C24AE6"/>
    <w:rsid w:val="00C3478B"/>
    <w:rsid w:val="00C47652"/>
    <w:rsid w:val="00C549CA"/>
    <w:rsid w:val="00C54CB3"/>
    <w:rsid w:val="00C6446E"/>
    <w:rsid w:val="00C70BB4"/>
    <w:rsid w:val="00C72921"/>
    <w:rsid w:val="00C75926"/>
    <w:rsid w:val="00C859F1"/>
    <w:rsid w:val="00C8746B"/>
    <w:rsid w:val="00C91422"/>
    <w:rsid w:val="00C95DF2"/>
    <w:rsid w:val="00CA37D8"/>
    <w:rsid w:val="00CB7766"/>
    <w:rsid w:val="00CE0BA0"/>
    <w:rsid w:val="00CF128A"/>
    <w:rsid w:val="00D26851"/>
    <w:rsid w:val="00D759AB"/>
    <w:rsid w:val="00D93AE5"/>
    <w:rsid w:val="00DA6F12"/>
    <w:rsid w:val="00DB61F8"/>
    <w:rsid w:val="00DF11CE"/>
    <w:rsid w:val="00E1123B"/>
    <w:rsid w:val="00E16248"/>
    <w:rsid w:val="00E36D56"/>
    <w:rsid w:val="00E54B09"/>
    <w:rsid w:val="00E55AC2"/>
    <w:rsid w:val="00E733F0"/>
    <w:rsid w:val="00E74EA2"/>
    <w:rsid w:val="00E8532A"/>
    <w:rsid w:val="00E96DEA"/>
    <w:rsid w:val="00EB2F51"/>
    <w:rsid w:val="00EC3EE9"/>
    <w:rsid w:val="00EC6FBB"/>
    <w:rsid w:val="00EE4550"/>
    <w:rsid w:val="00F026C9"/>
    <w:rsid w:val="00F04340"/>
    <w:rsid w:val="00F11D9C"/>
    <w:rsid w:val="00F51331"/>
    <w:rsid w:val="00F538A7"/>
    <w:rsid w:val="00F65126"/>
    <w:rsid w:val="00F74E6C"/>
    <w:rsid w:val="00F75294"/>
    <w:rsid w:val="00FA1F43"/>
    <w:rsid w:val="00FA59BE"/>
    <w:rsid w:val="00FA6205"/>
    <w:rsid w:val="00FB4D20"/>
    <w:rsid w:val="00FB6925"/>
    <w:rsid w:val="00FC18F5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BCF0"/>
  <w15:chartTrackingRefBased/>
  <w15:docId w15:val="{73AA7C66-84C3-4BE9-817E-EF1A1CFE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BB4"/>
    <w:pPr>
      <w:keepNext/>
      <w:keepLines/>
      <w:widowControl w:val="0"/>
      <w:numPr>
        <w:numId w:val="12"/>
      </w:numPr>
      <w:spacing w:before="120" w:after="120" w:line="240" w:lineRule="auto"/>
      <w:jc w:val="center"/>
      <w:outlineLvl w:val="0"/>
    </w:pPr>
    <w:rPr>
      <w:rFonts w:eastAsiaTheme="majorEastAsia" w:cstheme="majorBidi"/>
      <w:caps/>
      <w:color w:val="000000" w:themeColor="text1"/>
      <w:sz w:val="26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0BB4"/>
    <w:pPr>
      <w:keepNext/>
      <w:keepLines/>
      <w:widowControl w:val="0"/>
      <w:numPr>
        <w:ilvl w:val="1"/>
        <w:numId w:val="12"/>
      </w:numPr>
      <w:spacing w:before="120" w:after="120" w:line="240" w:lineRule="auto"/>
      <w:jc w:val="both"/>
      <w:outlineLvl w:val="1"/>
    </w:pPr>
    <w:rPr>
      <w:rFonts w:eastAsiaTheme="majorEastAsia" w:cstheme="majorBidi"/>
      <w:color w:val="auto"/>
      <w:sz w:val="24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BB4"/>
    <w:pPr>
      <w:keepNext/>
      <w:keepLines/>
      <w:widowControl w:val="0"/>
      <w:numPr>
        <w:ilvl w:val="2"/>
        <w:numId w:val="12"/>
      </w:numPr>
      <w:spacing w:before="40" w:after="0" w:line="240" w:lineRule="auto"/>
      <w:jc w:val="both"/>
      <w:outlineLvl w:val="2"/>
    </w:pPr>
    <w:rPr>
      <w:rFonts w:eastAsiaTheme="majorEastAsia" w:cstheme="majorBidi"/>
      <w:color w:val="auto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0BB4"/>
    <w:pPr>
      <w:keepNext/>
      <w:keepLines/>
      <w:widowControl w:val="0"/>
      <w:numPr>
        <w:ilvl w:val="3"/>
        <w:numId w:val="12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B4"/>
    <w:pPr>
      <w:keepNext/>
      <w:keepLines/>
      <w:widowControl w:val="0"/>
      <w:numPr>
        <w:ilvl w:val="4"/>
        <w:numId w:val="12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B4"/>
    <w:pPr>
      <w:keepNext/>
      <w:keepLines/>
      <w:widowControl w:val="0"/>
      <w:numPr>
        <w:ilvl w:val="5"/>
        <w:numId w:val="12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B4"/>
    <w:pPr>
      <w:keepNext/>
      <w:keepLines/>
      <w:widowControl w:val="0"/>
      <w:numPr>
        <w:ilvl w:val="6"/>
        <w:numId w:val="12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B4"/>
    <w:pPr>
      <w:keepNext/>
      <w:keepLines/>
      <w:widowControl w:val="0"/>
      <w:numPr>
        <w:ilvl w:val="7"/>
        <w:numId w:val="12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B4"/>
    <w:pPr>
      <w:keepNext/>
      <w:keepLines/>
      <w:widowControl w:val="0"/>
      <w:numPr>
        <w:ilvl w:val="8"/>
        <w:numId w:val="12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9B7E60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customStyle="1" w:styleId="11">
    <w:name w:val="Сетка таблицы1"/>
    <w:basedOn w:val="a1"/>
    <w:next w:val="a3"/>
    <w:uiPriority w:val="39"/>
    <w:rsid w:val="006F5039"/>
    <w:pPr>
      <w:spacing w:after="0" w:line="240" w:lineRule="auto"/>
    </w:pPr>
    <w:rPr>
      <w:rFonts w:ascii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D284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1D9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162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624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62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62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624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1624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5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49CA"/>
  </w:style>
  <w:style w:type="paragraph" w:styleId="af1">
    <w:name w:val="footer"/>
    <w:basedOn w:val="a"/>
    <w:link w:val="af2"/>
    <w:uiPriority w:val="99"/>
    <w:unhideWhenUsed/>
    <w:rsid w:val="00C5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49CA"/>
  </w:style>
  <w:style w:type="character" w:styleId="af3">
    <w:name w:val="Placeholder Text"/>
    <w:basedOn w:val="a0"/>
    <w:uiPriority w:val="99"/>
    <w:semiHidden/>
    <w:rsid w:val="00EE455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70BB4"/>
    <w:rPr>
      <w:rFonts w:eastAsiaTheme="majorEastAsia" w:cstheme="majorBidi"/>
      <w:caps/>
      <w:color w:val="000000" w:themeColor="text1"/>
      <w:sz w:val="26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C70BB4"/>
    <w:rPr>
      <w:rFonts w:eastAsiaTheme="majorEastAsia" w:cstheme="majorBidi"/>
      <w:color w:val="auto"/>
      <w:sz w:val="24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70BB4"/>
    <w:rPr>
      <w:rFonts w:eastAsiaTheme="majorEastAsia" w:cstheme="majorBidi"/>
      <w:color w:val="auto"/>
      <w:sz w:val="24"/>
      <w:szCs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C70BB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70BB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C70B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C70BB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C70B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C70B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kfinre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br.ru/recep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kfinre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kkfinr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kfinre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0DA2-BEBD-49CA-88F9-29BDB780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Наталья</dc:creator>
  <cp:keywords/>
  <dc:description/>
  <cp:lastModifiedBy>Колотовкина Анна</cp:lastModifiedBy>
  <cp:revision>4</cp:revision>
  <cp:lastPrinted>2021-06-08T08:26:00Z</cp:lastPrinted>
  <dcterms:created xsi:type="dcterms:W3CDTF">2023-04-14T09:49:00Z</dcterms:created>
  <dcterms:modified xsi:type="dcterms:W3CDTF">2023-04-14T13:00:00Z</dcterms:modified>
</cp:coreProperties>
</file>